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CC814" w14:textId="178F954E" w:rsidR="005F51AC" w:rsidRDefault="00E30B30" w:rsidP="005F51AC">
      <w:pPr>
        <w:pStyle w:val="En-tte"/>
        <w:rPr>
          <w:rFonts w:ascii="Arial" w:hAnsi="Arial" w:cs="Arial"/>
          <w:b/>
          <w:bCs/>
        </w:rPr>
      </w:pPr>
      <w:r>
        <w:rPr>
          <w:rFonts w:ascii="Arial" w:hAnsi="Arial" w:cs="Arial"/>
          <w:b/>
          <w:bCs/>
          <w:noProof/>
        </w:rPr>
        <w:drawing>
          <wp:anchor distT="0" distB="0" distL="114300" distR="114300" simplePos="0" relativeHeight="251657728" behindDoc="0" locked="0" layoutInCell="1" allowOverlap="1" wp14:anchorId="4F0373CE" wp14:editId="18BFF7BC">
            <wp:simplePos x="0" y="0"/>
            <wp:positionH relativeFrom="column">
              <wp:posOffset>1499235</wp:posOffset>
            </wp:positionH>
            <wp:positionV relativeFrom="paragraph">
              <wp:posOffset>62230</wp:posOffset>
            </wp:positionV>
            <wp:extent cx="2758440" cy="1409700"/>
            <wp:effectExtent l="0" t="0" r="0" b="0"/>
            <wp:wrapNone/>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844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492F1" w14:textId="77777777" w:rsidR="00A42896" w:rsidRDefault="00A42896" w:rsidP="008365F7">
      <w:pPr>
        <w:rPr>
          <w:rFonts w:ascii="Arial" w:hAnsi="Arial" w:cs="Arial"/>
          <w:b/>
          <w:bCs/>
          <w:sz w:val="28"/>
          <w:szCs w:val="28"/>
        </w:rPr>
      </w:pPr>
    </w:p>
    <w:p w14:paraId="1005DBB4" w14:textId="77777777" w:rsidR="00AC4D0C" w:rsidRDefault="00AC4D0C" w:rsidP="008365F7">
      <w:pPr>
        <w:rPr>
          <w:rFonts w:ascii="Arial" w:hAnsi="Arial" w:cs="Arial"/>
          <w:b/>
          <w:bCs/>
          <w:sz w:val="28"/>
          <w:szCs w:val="28"/>
        </w:rPr>
      </w:pPr>
    </w:p>
    <w:p w14:paraId="4BCA4C0D" w14:textId="77777777" w:rsidR="00AC4D0C" w:rsidRDefault="00AC4D0C" w:rsidP="008365F7">
      <w:pPr>
        <w:rPr>
          <w:rFonts w:ascii="Arial" w:hAnsi="Arial" w:cs="Arial"/>
          <w:b/>
          <w:bCs/>
          <w:sz w:val="28"/>
          <w:szCs w:val="28"/>
        </w:rPr>
      </w:pPr>
    </w:p>
    <w:p w14:paraId="2AD46963" w14:textId="77777777" w:rsidR="00B109C6" w:rsidRDefault="00B109C6" w:rsidP="00140FD8">
      <w:pPr>
        <w:jc w:val="center"/>
        <w:rPr>
          <w:rFonts w:ascii="Arial" w:hAnsi="Arial" w:cs="Arial"/>
          <w:b/>
          <w:bCs/>
          <w:sz w:val="28"/>
          <w:szCs w:val="28"/>
        </w:rPr>
      </w:pPr>
    </w:p>
    <w:p w14:paraId="31DBCC90" w14:textId="77777777" w:rsidR="00B109C6" w:rsidRDefault="00B109C6" w:rsidP="00140FD8">
      <w:pPr>
        <w:jc w:val="center"/>
        <w:rPr>
          <w:rFonts w:ascii="Arial" w:hAnsi="Arial" w:cs="Arial"/>
          <w:b/>
          <w:bCs/>
          <w:sz w:val="28"/>
          <w:szCs w:val="28"/>
        </w:rPr>
      </w:pPr>
    </w:p>
    <w:p w14:paraId="584382BC" w14:textId="77777777" w:rsidR="00B109C6" w:rsidRDefault="00B109C6" w:rsidP="00140FD8">
      <w:pPr>
        <w:jc w:val="center"/>
        <w:rPr>
          <w:rFonts w:ascii="Arial" w:hAnsi="Arial" w:cs="Arial"/>
          <w:b/>
          <w:bCs/>
          <w:sz w:val="28"/>
          <w:szCs w:val="28"/>
        </w:rPr>
      </w:pPr>
    </w:p>
    <w:p w14:paraId="30FB38A5" w14:textId="77777777" w:rsidR="00B109C6" w:rsidRDefault="00B109C6" w:rsidP="00140FD8">
      <w:pPr>
        <w:jc w:val="center"/>
        <w:rPr>
          <w:rFonts w:ascii="Arial" w:hAnsi="Arial" w:cs="Arial"/>
          <w:b/>
          <w:bCs/>
          <w:sz w:val="28"/>
          <w:szCs w:val="28"/>
        </w:rPr>
      </w:pPr>
    </w:p>
    <w:p w14:paraId="30B8DD52" w14:textId="77777777" w:rsidR="00A42896" w:rsidRPr="00B109C6" w:rsidRDefault="00A42896" w:rsidP="00140FD8">
      <w:pPr>
        <w:jc w:val="center"/>
        <w:rPr>
          <w:rFonts w:ascii="Arial" w:hAnsi="Arial" w:cs="Arial"/>
          <w:bCs/>
          <w:i/>
          <w:sz w:val="28"/>
          <w:szCs w:val="28"/>
        </w:rPr>
      </w:pPr>
      <w:r w:rsidRPr="00B109C6">
        <w:rPr>
          <w:rFonts w:ascii="Arial" w:hAnsi="Arial" w:cs="Arial"/>
          <w:bCs/>
          <w:i/>
          <w:sz w:val="28"/>
          <w:szCs w:val="28"/>
        </w:rPr>
        <w:t>Fonds de Soutien à l’obtention Végétale</w:t>
      </w:r>
    </w:p>
    <w:p w14:paraId="3F0F624A" w14:textId="77777777" w:rsidR="00A42896" w:rsidRDefault="00A42896" w:rsidP="00140FD8">
      <w:pPr>
        <w:jc w:val="center"/>
        <w:rPr>
          <w:rFonts w:ascii="Arial" w:hAnsi="Arial" w:cs="Arial"/>
          <w:b/>
          <w:bCs/>
          <w:sz w:val="28"/>
          <w:szCs w:val="28"/>
        </w:rPr>
      </w:pPr>
    </w:p>
    <w:p w14:paraId="4C3A8002" w14:textId="2E1851CD" w:rsidR="00304C27" w:rsidRDefault="00E30B30" w:rsidP="00140FD8">
      <w:pPr>
        <w:jc w:val="center"/>
        <w:rPr>
          <w:rFonts w:ascii="Arial" w:hAnsi="Arial" w:cs="Arial"/>
          <w:b/>
          <w:bCs/>
          <w:sz w:val="28"/>
          <w:szCs w:val="28"/>
        </w:rPr>
      </w:pPr>
      <w:r w:rsidRPr="00304C27">
        <w:rPr>
          <w:rFonts w:ascii="Arial" w:hAnsi="Arial" w:cs="Arial"/>
          <w:b/>
          <w:bCs/>
          <w:noProof/>
          <w:sz w:val="28"/>
          <w:szCs w:val="28"/>
        </w:rPr>
        <w:drawing>
          <wp:inline distT="0" distB="0" distL="0" distR="0" wp14:anchorId="59607AFC" wp14:editId="20A9D335">
            <wp:extent cx="6120765" cy="887095"/>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87095"/>
                    </a:xfrm>
                    <a:prstGeom prst="rect">
                      <a:avLst/>
                    </a:prstGeom>
                    <a:noFill/>
                    <a:ln>
                      <a:noFill/>
                    </a:ln>
                  </pic:spPr>
                </pic:pic>
              </a:graphicData>
            </a:graphic>
          </wp:inline>
        </w:drawing>
      </w:r>
    </w:p>
    <w:p w14:paraId="7B4D9F5F" w14:textId="77777777" w:rsidR="00304C27" w:rsidRDefault="00304C27" w:rsidP="00140FD8">
      <w:pPr>
        <w:jc w:val="center"/>
        <w:rPr>
          <w:rFonts w:ascii="Arial" w:hAnsi="Arial" w:cs="Arial"/>
          <w:b/>
          <w:bCs/>
          <w:sz w:val="28"/>
          <w:szCs w:val="28"/>
        </w:rPr>
      </w:pPr>
    </w:p>
    <w:p w14:paraId="2618A762" w14:textId="00655358" w:rsidR="00547B7D" w:rsidRPr="00547B7D" w:rsidRDefault="00547B7D" w:rsidP="00547B7D">
      <w:pPr>
        <w:pBdr>
          <w:bottom w:val="single" w:sz="4" w:space="1" w:color="auto"/>
        </w:pBdr>
        <w:ind w:left="1418" w:right="1417"/>
        <w:jc w:val="center"/>
        <w:rPr>
          <w:rFonts w:ascii="Arial" w:hAnsi="Arial" w:cs="Arial"/>
          <w:b/>
          <w:bCs/>
          <w:i/>
          <w:color w:val="70AD47"/>
          <w:sz w:val="32"/>
          <w:szCs w:val="32"/>
        </w:rPr>
      </w:pPr>
      <w:r w:rsidRPr="00547B7D">
        <w:rPr>
          <w:rFonts w:ascii="Arial" w:hAnsi="Arial" w:cs="Arial"/>
          <w:b/>
          <w:bCs/>
          <w:i/>
          <w:color w:val="70AD47"/>
          <w:sz w:val="32"/>
          <w:szCs w:val="32"/>
        </w:rPr>
        <w:t>Rapport d’activité année 1</w:t>
      </w:r>
    </w:p>
    <w:p w14:paraId="3A8CAC5E" w14:textId="546AE725" w:rsidR="00B109C6" w:rsidRPr="00547B7D" w:rsidRDefault="00547B7D" w:rsidP="00547B7D">
      <w:pPr>
        <w:pBdr>
          <w:bottom w:val="single" w:sz="4" w:space="1" w:color="auto"/>
        </w:pBdr>
        <w:ind w:left="1418" w:right="1417"/>
        <w:jc w:val="center"/>
        <w:rPr>
          <w:rFonts w:ascii="Arial" w:hAnsi="Arial" w:cs="Arial"/>
          <w:b/>
          <w:bCs/>
          <w:sz w:val="32"/>
          <w:szCs w:val="32"/>
        </w:rPr>
      </w:pPr>
      <w:r w:rsidRPr="00547B7D">
        <w:rPr>
          <w:rFonts w:ascii="Arial" w:hAnsi="Arial" w:cs="Arial"/>
          <w:b/>
          <w:bCs/>
          <w:i/>
          <w:color w:val="70AD47"/>
          <w:sz w:val="32"/>
          <w:szCs w:val="32"/>
        </w:rPr>
        <w:t>14 septembre 2020 – 14 septembre 2021</w:t>
      </w:r>
    </w:p>
    <w:p w14:paraId="41BD70C8" w14:textId="77777777" w:rsidR="00B109C6" w:rsidRDefault="00B109C6">
      <w:pPr>
        <w:rPr>
          <w:rFonts w:ascii="Arial" w:hAnsi="Arial" w:cs="Arial"/>
          <w:b/>
          <w:bCs/>
          <w:sz w:val="28"/>
          <w:szCs w:val="28"/>
        </w:rPr>
      </w:pPr>
    </w:p>
    <w:p w14:paraId="1B9C924F" w14:textId="77777777" w:rsidR="00421A32" w:rsidRDefault="00421A32">
      <w:pPr>
        <w:rPr>
          <w:rFonts w:ascii="Arial" w:hAnsi="Arial" w:cs="Arial"/>
          <w:b/>
          <w:bCs/>
          <w:sz w:val="28"/>
          <w:szCs w:val="28"/>
        </w:rPr>
      </w:pPr>
    </w:p>
    <w:p w14:paraId="60A59885" w14:textId="77777777" w:rsidR="00140FD8" w:rsidRPr="00FB45BD" w:rsidRDefault="00A34A84" w:rsidP="00FB45BD">
      <w:pPr>
        <w:rPr>
          <w:rFonts w:ascii="Arial" w:hAnsi="Arial" w:cs="Arial"/>
          <w:sz w:val="28"/>
          <w:szCs w:val="28"/>
        </w:rPr>
      </w:pPr>
      <w:r w:rsidRPr="00FB45BD">
        <w:rPr>
          <w:rFonts w:ascii="Arial" w:hAnsi="Arial" w:cs="Arial"/>
          <w:b/>
          <w:bCs/>
          <w:sz w:val="28"/>
          <w:szCs w:val="28"/>
        </w:rPr>
        <w:t>TITRE DU PROJET</w:t>
      </w:r>
      <w:r w:rsidR="00140FD8" w:rsidRPr="00FB45BD">
        <w:rPr>
          <w:rFonts w:ascii="Arial" w:hAnsi="Arial" w:cs="Arial"/>
          <w:b/>
          <w:bCs/>
          <w:sz w:val="28"/>
          <w:szCs w:val="28"/>
        </w:rPr>
        <w:t xml:space="preserve"> </w:t>
      </w:r>
      <w:r w:rsidR="00B109C6" w:rsidRPr="00FB45BD">
        <w:rPr>
          <w:rFonts w:ascii="Arial" w:hAnsi="Arial" w:cs="Arial"/>
          <w:b/>
          <w:bCs/>
          <w:i/>
        </w:rPr>
        <w:t>(</w:t>
      </w:r>
      <w:r w:rsidR="00140FD8" w:rsidRPr="00FB45BD">
        <w:rPr>
          <w:rFonts w:ascii="Arial" w:hAnsi="Arial" w:cs="Arial"/>
          <w:b/>
          <w:bCs/>
          <w:i/>
        </w:rPr>
        <w:t>15 mots)</w:t>
      </w:r>
      <w:r w:rsidR="00140FD8" w:rsidRPr="00FB45BD">
        <w:rPr>
          <w:rFonts w:ascii="Arial" w:hAnsi="Arial" w:cs="Arial"/>
          <w:sz w:val="28"/>
          <w:szCs w:val="28"/>
        </w:rPr>
        <w:t> :</w:t>
      </w:r>
    </w:p>
    <w:p w14:paraId="4BD90C85" w14:textId="77777777" w:rsidR="00B109C6" w:rsidRDefault="00B109C6">
      <w:pPr>
        <w:rPr>
          <w:rFonts w:ascii="Arial" w:hAnsi="Arial" w:cs="Arial"/>
          <w:sz w:val="28"/>
          <w:szCs w:val="28"/>
        </w:rPr>
      </w:pPr>
    </w:p>
    <w:p w14:paraId="60C21ADD" w14:textId="77777777" w:rsidR="00F06A18" w:rsidRPr="008217DA" w:rsidRDefault="00F06A18" w:rsidP="00F06A18">
      <w:pPr>
        <w:jc w:val="center"/>
        <w:rPr>
          <w:rFonts w:ascii="Arial" w:hAnsi="Arial" w:cs="Arial"/>
          <w:b/>
          <w:sz w:val="28"/>
          <w:szCs w:val="28"/>
        </w:rPr>
      </w:pPr>
      <w:r w:rsidRPr="008217DA">
        <w:rPr>
          <w:rFonts w:ascii="Arial" w:hAnsi="Arial" w:cs="Arial"/>
          <w:b/>
          <w:sz w:val="28"/>
          <w:szCs w:val="28"/>
        </w:rPr>
        <w:t>Identification et exploitation de sources de résistance à la rouille jaune chez le Triticale (TritiRJ)</w:t>
      </w:r>
    </w:p>
    <w:p w14:paraId="118D743E" w14:textId="77777777" w:rsidR="00FB45BD" w:rsidRPr="00B109C6" w:rsidRDefault="00FB45BD" w:rsidP="00F06A18">
      <w:pPr>
        <w:rPr>
          <w:rFonts w:ascii="Arial" w:hAnsi="Arial" w:cs="Arial"/>
          <w:sz w:val="28"/>
          <w:szCs w:val="28"/>
        </w:rPr>
      </w:pPr>
    </w:p>
    <w:p w14:paraId="7AB12DD6" w14:textId="77777777" w:rsidR="00A34A84" w:rsidRDefault="00A34A84" w:rsidP="00A34A84">
      <w:pPr>
        <w:rPr>
          <w:rFonts w:ascii="Arial" w:hAnsi="Arial" w:cs="Arial"/>
        </w:rPr>
      </w:pPr>
    </w:p>
    <w:p w14:paraId="7A38573C" w14:textId="77777777" w:rsidR="00A34A84" w:rsidRPr="00974B3E" w:rsidRDefault="00A34A84" w:rsidP="00EC37DE">
      <w:pPr>
        <w:pBdr>
          <w:bottom w:val="single" w:sz="4" w:space="1" w:color="auto"/>
        </w:pBdr>
        <w:rPr>
          <w:rFonts w:ascii="Arial" w:hAnsi="Arial" w:cs="Arial"/>
          <w:b/>
          <w:bCs/>
          <w:sz w:val="28"/>
          <w:szCs w:val="28"/>
        </w:rPr>
      </w:pPr>
      <w:r w:rsidRPr="00974B3E">
        <w:rPr>
          <w:rFonts w:ascii="Arial" w:hAnsi="Arial" w:cs="Arial"/>
          <w:b/>
          <w:bCs/>
          <w:caps/>
          <w:sz w:val="28"/>
          <w:szCs w:val="28"/>
        </w:rPr>
        <w:t xml:space="preserve">résumé du </w:t>
      </w:r>
      <w:r w:rsidR="00E9352B">
        <w:rPr>
          <w:rFonts w:ascii="Arial" w:hAnsi="Arial" w:cs="Arial"/>
          <w:b/>
          <w:bCs/>
          <w:caps/>
          <w:sz w:val="28"/>
          <w:szCs w:val="28"/>
        </w:rPr>
        <w:t>PROGRAMME</w:t>
      </w:r>
      <w:r w:rsidRPr="00974B3E">
        <w:rPr>
          <w:rFonts w:ascii="Arial" w:hAnsi="Arial" w:cs="Arial"/>
          <w:b/>
          <w:bCs/>
          <w:sz w:val="28"/>
          <w:szCs w:val="28"/>
        </w:rPr>
        <w:t xml:space="preserve"> </w:t>
      </w:r>
      <w:r w:rsidRPr="00B109C6">
        <w:rPr>
          <w:rFonts w:ascii="Arial" w:hAnsi="Arial" w:cs="Arial"/>
          <w:b/>
          <w:bCs/>
          <w:i/>
        </w:rPr>
        <w:t>(30 lignes)</w:t>
      </w:r>
      <w:r w:rsidR="00B109C6">
        <w:rPr>
          <w:rFonts w:ascii="Arial" w:hAnsi="Arial" w:cs="Arial"/>
          <w:b/>
          <w:bCs/>
          <w:sz w:val="28"/>
          <w:szCs w:val="28"/>
        </w:rPr>
        <w:t> :</w:t>
      </w:r>
    </w:p>
    <w:p w14:paraId="5E779999" w14:textId="77777777" w:rsidR="00A34A84" w:rsidRDefault="00A34A84" w:rsidP="00EC37DE">
      <w:pPr>
        <w:rPr>
          <w:rFonts w:ascii="Arial" w:hAnsi="Arial" w:cs="Arial"/>
        </w:rPr>
      </w:pPr>
    </w:p>
    <w:p w14:paraId="2D4C65B7" w14:textId="77777777" w:rsidR="007C551A" w:rsidRPr="007C551A" w:rsidRDefault="007C551A" w:rsidP="007C551A">
      <w:pPr>
        <w:jc w:val="both"/>
        <w:rPr>
          <w:rFonts w:ascii="Arial" w:hAnsi="Arial" w:cs="Arial"/>
        </w:rPr>
      </w:pPr>
      <w:r w:rsidRPr="007C551A">
        <w:rPr>
          <w:rFonts w:ascii="Arial" w:hAnsi="Arial" w:cs="Arial"/>
        </w:rPr>
        <w:t xml:space="preserve">La rouille jaune causée par le champignon biotrophe </w:t>
      </w:r>
      <w:r w:rsidRPr="007C551A">
        <w:rPr>
          <w:rFonts w:ascii="Arial" w:hAnsi="Arial" w:cs="Arial"/>
          <w:i/>
          <w:iCs/>
        </w:rPr>
        <w:t>Puccinia striiformis</w:t>
      </w:r>
      <w:r w:rsidRPr="007C551A">
        <w:rPr>
          <w:rFonts w:ascii="Arial" w:hAnsi="Arial" w:cs="Arial"/>
        </w:rPr>
        <w:t xml:space="preserve"> (</w:t>
      </w:r>
      <w:r w:rsidRPr="007C551A">
        <w:rPr>
          <w:rFonts w:ascii="Arial" w:hAnsi="Arial" w:cs="Arial"/>
          <w:i/>
          <w:iCs/>
        </w:rPr>
        <w:t>Pst</w:t>
      </w:r>
      <w:r w:rsidRPr="007C551A">
        <w:rPr>
          <w:rFonts w:ascii="Arial" w:hAnsi="Arial" w:cs="Arial"/>
        </w:rPr>
        <w:t xml:space="preserve">) est l’une des maladies les plus répandues et dévastatrices des céréales. Récemment, plusieurs races invasives (Warrior et triticale agressive) se sont développées en Europe et sont à l’origine d’épidémies sur le triticale. Il est alors indispensable d’introduire dans les programmes d’amélioration variétale des géniteurs possédant une résistance. Le projet s’appuie sur les résultats obtenus dans le précédent projet FSOV 2016 Rouille Jaune qui a mis en évidence un QTL de résistance à effet fort sur le chromosome 6R. Il est organisé en trois parties et étudiera </w:t>
      </w:r>
    </w:p>
    <w:p w14:paraId="66E6DCDE" w14:textId="77777777" w:rsidR="007C551A" w:rsidRPr="007C551A" w:rsidRDefault="007C551A" w:rsidP="007C551A">
      <w:pPr>
        <w:jc w:val="both"/>
        <w:rPr>
          <w:rFonts w:ascii="Arial" w:hAnsi="Arial" w:cs="Arial"/>
        </w:rPr>
      </w:pPr>
      <w:r w:rsidRPr="007C551A">
        <w:rPr>
          <w:rFonts w:ascii="Arial" w:hAnsi="Arial" w:cs="Arial"/>
        </w:rPr>
        <w:t xml:space="preserve">(i) la cartographie fine du QTL de résistance à la rouille jaune précédemment identifié sur le chromosome 6R. Le génotypage et le phénotypage au champ et en conditions contrôlées de 2000 individus recombinants </w:t>
      </w:r>
      <w:r w:rsidR="00A92026">
        <w:rPr>
          <w:rFonts w:ascii="Arial" w:hAnsi="Arial" w:cs="Arial"/>
        </w:rPr>
        <w:t>S1</w:t>
      </w:r>
      <w:r w:rsidRPr="007C551A">
        <w:rPr>
          <w:rFonts w:ascii="Arial" w:hAnsi="Arial" w:cs="Arial"/>
        </w:rPr>
        <w:t xml:space="preserve">. Pour le génotypage, des marqueurs Kaspar du chromosome 6R seront définis au niveau du QTL à partir de la puce Axiom seigle 800K et le phénotypage sera réalisé en champ en 4 lieux sur les familles </w:t>
      </w:r>
      <w:r w:rsidR="00907803">
        <w:rPr>
          <w:rFonts w:ascii="Arial" w:hAnsi="Arial" w:cs="Arial"/>
        </w:rPr>
        <w:t>S</w:t>
      </w:r>
      <w:r w:rsidRPr="007C551A">
        <w:rPr>
          <w:rFonts w:ascii="Arial" w:hAnsi="Arial" w:cs="Arial"/>
        </w:rPr>
        <w:t>2. Un test de résistance juvénile sera réalisé en serre au Mexique.</w:t>
      </w:r>
    </w:p>
    <w:p w14:paraId="41B4241D" w14:textId="77777777" w:rsidR="007C551A" w:rsidRPr="007C551A" w:rsidRDefault="007C551A" w:rsidP="007C551A">
      <w:pPr>
        <w:jc w:val="both"/>
        <w:rPr>
          <w:rFonts w:ascii="Arial" w:hAnsi="Arial" w:cs="Arial"/>
        </w:rPr>
      </w:pPr>
      <w:r w:rsidRPr="007C551A">
        <w:rPr>
          <w:rFonts w:ascii="Arial" w:hAnsi="Arial" w:cs="Arial"/>
        </w:rPr>
        <w:t xml:space="preserve">(ii) En parallèle, une recherche de QTL sera réalisée </w:t>
      </w:r>
      <w:r w:rsidR="00864A1B">
        <w:rPr>
          <w:rFonts w:ascii="Arial" w:hAnsi="Arial" w:cs="Arial"/>
        </w:rPr>
        <w:t xml:space="preserve">par génétique d’association </w:t>
      </w:r>
      <w:r w:rsidRPr="007C551A">
        <w:rPr>
          <w:rFonts w:ascii="Arial" w:hAnsi="Arial" w:cs="Arial"/>
        </w:rPr>
        <w:t xml:space="preserve">à partir d’un panel de triticales français et mexicains. En effet, des lignées résistantes existent </w:t>
      </w:r>
      <w:r w:rsidR="00864A1B" w:rsidRPr="007C551A">
        <w:rPr>
          <w:rFonts w:ascii="Arial" w:hAnsi="Arial" w:cs="Arial"/>
        </w:rPr>
        <w:t>parmi</w:t>
      </w:r>
      <w:r w:rsidRPr="007C551A">
        <w:rPr>
          <w:rFonts w:ascii="Arial" w:hAnsi="Arial" w:cs="Arial"/>
        </w:rPr>
        <w:t xml:space="preserve"> les sélections du C</w:t>
      </w:r>
      <w:r w:rsidR="00A92026">
        <w:rPr>
          <w:rFonts w:ascii="Arial" w:hAnsi="Arial" w:cs="Arial"/>
        </w:rPr>
        <w:t>I</w:t>
      </w:r>
      <w:r w:rsidRPr="007C551A">
        <w:rPr>
          <w:rFonts w:ascii="Arial" w:hAnsi="Arial" w:cs="Arial"/>
        </w:rPr>
        <w:t>MM</w:t>
      </w:r>
      <w:r w:rsidR="00A92026">
        <w:rPr>
          <w:rFonts w:ascii="Arial" w:hAnsi="Arial" w:cs="Arial"/>
        </w:rPr>
        <w:t>Y</w:t>
      </w:r>
      <w:r w:rsidRPr="007C551A">
        <w:rPr>
          <w:rFonts w:ascii="Arial" w:hAnsi="Arial" w:cs="Arial"/>
        </w:rPr>
        <w:t xml:space="preserve">T. </w:t>
      </w:r>
      <w:r>
        <w:rPr>
          <w:rFonts w:ascii="Arial" w:hAnsi="Arial" w:cs="Arial"/>
        </w:rPr>
        <w:t>U</w:t>
      </w:r>
      <w:r w:rsidRPr="007C551A">
        <w:rPr>
          <w:rFonts w:ascii="Arial" w:hAnsi="Arial" w:cs="Arial"/>
        </w:rPr>
        <w:t xml:space="preserve">ne caractérisation des races mexicaines sera réalisée pour comparaison </w:t>
      </w:r>
      <w:r w:rsidR="00864A1B">
        <w:rPr>
          <w:rFonts w:ascii="Arial" w:hAnsi="Arial" w:cs="Arial"/>
        </w:rPr>
        <w:t>avec</w:t>
      </w:r>
      <w:r w:rsidRPr="007C551A">
        <w:rPr>
          <w:rFonts w:ascii="Arial" w:hAnsi="Arial" w:cs="Arial"/>
        </w:rPr>
        <w:t xml:space="preserve"> celle effectuée sur les races françaises dans le </w:t>
      </w:r>
      <w:r w:rsidRPr="007C551A">
        <w:rPr>
          <w:rFonts w:ascii="Arial" w:hAnsi="Arial" w:cs="Arial"/>
        </w:rPr>
        <w:lastRenderedPageBreak/>
        <w:t>précédent projet. Le phénotypage sera réalisé en champ en France et au Mexique. Le génotypage sera réalisé avec la puce blé TaBW35</w:t>
      </w:r>
      <w:r w:rsidR="00864A1B" w:rsidRPr="007C551A">
        <w:rPr>
          <w:rFonts w:ascii="Arial" w:hAnsi="Arial" w:cs="Arial"/>
        </w:rPr>
        <w:t xml:space="preserve">K </w:t>
      </w:r>
      <w:r w:rsidR="00864A1B">
        <w:rPr>
          <w:rFonts w:ascii="Arial" w:hAnsi="Arial" w:cs="Arial"/>
        </w:rPr>
        <w:t>qui</w:t>
      </w:r>
      <w:r>
        <w:rPr>
          <w:rFonts w:ascii="Arial" w:hAnsi="Arial" w:cs="Arial"/>
        </w:rPr>
        <w:t xml:space="preserve"> </w:t>
      </w:r>
      <w:r w:rsidR="00864A1B">
        <w:rPr>
          <w:rFonts w:ascii="Arial" w:hAnsi="Arial" w:cs="Arial"/>
        </w:rPr>
        <w:t>sera</w:t>
      </w:r>
      <w:r>
        <w:rPr>
          <w:rFonts w:ascii="Arial" w:hAnsi="Arial" w:cs="Arial"/>
        </w:rPr>
        <w:t xml:space="preserve"> </w:t>
      </w:r>
      <w:r w:rsidRPr="007C551A">
        <w:rPr>
          <w:rFonts w:ascii="Arial" w:hAnsi="Arial" w:cs="Arial"/>
        </w:rPr>
        <w:t>préalablement assignée sur les contigs de seigle.</w:t>
      </w:r>
    </w:p>
    <w:p w14:paraId="36DA42DA" w14:textId="77777777" w:rsidR="007C551A" w:rsidRPr="007C551A" w:rsidRDefault="007C551A" w:rsidP="007C551A">
      <w:pPr>
        <w:jc w:val="both"/>
        <w:rPr>
          <w:rFonts w:ascii="Arial" w:hAnsi="Arial" w:cs="Arial"/>
        </w:rPr>
      </w:pPr>
      <w:r w:rsidRPr="007C551A">
        <w:rPr>
          <w:rFonts w:ascii="Arial" w:hAnsi="Arial" w:cs="Arial"/>
        </w:rPr>
        <w:t>En parallèle la g</w:t>
      </w:r>
      <w:r>
        <w:rPr>
          <w:rFonts w:ascii="Arial" w:hAnsi="Arial" w:cs="Arial"/>
        </w:rPr>
        <w:t>a</w:t>
      </w:r>
      <w:r w:rsidRPr="007C551A">
        <w:rPr>
          <w:rFonts w:ascii="Arial" w:hAnsi="Arial" w:cs="Arial"/>
        </w:rPr>
        <w:t xml:space="preserve">mme </w:t>
      </w:r>
      <w:r w:rsidR="00F86915">
        <w:rPr>
          <w:rFonts w:ascii="Arial" w:hAnsi="Arial" w:cs="Arial"/>
        </w:rPr>
        <w:t>d</w:t>
      </w:r>
      <w:r w:rsidR="00CA48AE">
        <w:rPr>
          <w:rFonts w:ascii="Arial" w:hAnsi="Arial" w:cs="Arial"/>
        </w:rPr>
        <w:t>’</w:t>
      </w:r>
      <w:r w:rsidR="000151C0">
        <w:rPr>
          <w:rFonts w:ascii="Arial" w:hAnsi="Arial" w:cs="Arial"/>
        </w:rPr>
        <w:t>hôte</w:t>
      </w:r>
      <w:r w:rsidR="00864A1B">
        <w:rPr>
          <w:rFonts w:ascii="Arial" w:hAnsi="Arial" w:cs="Arial"/>
        </w:rPr>
        <w:t>s</w:t>
      </w:r>
      <w:r w:rsidRPr="007C551A">
        <w:rPr>
          <w:rFonts w:ascii="Arial" w:hAnsi="Arial" w:cs="Arial"/>
        </w:rPr>
        <w:t xml:space="preserve"> différentielle française sera </w:t>
      </w:r>
      <w:r w:rsidR="00864A1B" w:rsidRPr="007C551A">
        <w:rPr>
          <w:rFonts w:ascii="Arial" w:hAnsi="Arial" w:cs="Arial"/>
        </w:rPr>
        <w:t>testé</w:t>
      </w:r>
      <w:r w:rsidR="00864A1B">
        <w:rPr>
          <w:rFonts w:ascii="Arial" w:hAnsi="Arial" w:cs="Arial"/>
        </w:rPr>
        <w:t>e</w:t>
      </w:r>
      <w:r w:rsidRPr="007C551A">
        <w:rPr>
          <w:rFonts w:ascii="Arial" w:hAnsi="Arial" w:cs="Arial"/>
        </w:rPr>
        <w:t xml:space="preserve"> sur les race</w:t>
      </w:r>
      <w:r w:rsidR="00864A1B">
        <w:rPr>
          <w:rFonts w:ascii="Arial" w:hAnsi="Arial" w:cs="Arial"/>
        </w:rPr>
        <w:t>s</w:t>
      </w:r>
      <w:r w:rsidRPr="007C551A">
        <w:rPr>
          <w:rFonts w:ascii="Arial" w:hAnsi="Arial" w:cs="Arial"/>
        </w:rPr>
        <w:t xml:space="preserve"> mexicaine</w:t>
      </w:r>
      <w:r w:rsidR="00864A1B">
        <w:rPr>
          <w:rFonts w:ascii="Arial" w:hAnsi="Arial" w:cs="Arial"/>
        </w:rPr>
        <w:t>s</w:t>
      </w:r>
      <w:r w:rsidRPr="007C551A">
        <w:rPr>
          <w:rFonts w:ascii="Arial" w:hAnsi="Arial" w:cs="Arial"/>
        </w:rPr>
        <w:t xml:space="preserve"> et la gamme </w:t>
      </w:r>
      <w:r w:rsidR="00F86915">
        <w:rPr>
          <w:rFonts w:ascii="Arial" w:hAnsi="Arial" w:cs="Arial"/>
        </w:rPr>
        <w:t>d’</w:t>
      </w:r>
      <w:r w:rsidR="000151C0">
        <w:rPr>
          <w:rFonts w:ascii="Arial" w:hAnsi="Arial" w:cs="Arial"/>
        </w:rPr>
        <w:t>hôte</w:t>
      </w:r>
      <w:r w:rsidR="0084081B">
        <w:rPr>
          <w:rFonts w:ascii="Arial" w:hAnsi="Arial" w:cs="Arial"/>
        </w:rPr>
        <w:t>s</w:t>
      </w:r>
      <w:r w:rsidRPr="007C551A">
        <w:rPr>
          <w:rFonts w:ascii="Arial" w:hAnsi="Arial" w:cs="Arial"/>
        </w:rPr>
        <w:t xml:space="preserve"> différentielle mexicaine sera estée en France de façon</w:t>
      </w:r>
      <w:r>
        <w:rPr>
          <w:rFonts w:ascii="Arial" w:hAnsi="Arial" w:cs="Arial"/>
        </w:rPr>
        <w:t xml:space="preserve"> à identifier les </w:t>
      </w:r>
      <w:r w:rsidR="000151C0">
        <w:rPr>
          <w:rFonts w:ascii="Arial" w:hAnsi="Arial" w:cs="Arial"/>
        </w:rPr>
        <w:t>résistances communes</w:t>
      </w:r>
      <w:r w:rsidRPr="007C551A">
        <w:rPr>
          <w:rFonts w:ascii="Arial" w:hAnsi="Arial" w:cs="Arial"/>
        </w:rPr>
        <w:t>.</w:t>
      </w:r>
    </w:p>
    <w:p w14:paraId="6E43889F" w14:textId="77777777" w:rsidR="007C551A" w:rsidRPr="007C551A" w:rsidRDefault="007C551A" w:rsidP="007C551A">
      <w:pPr>
        <w:jc w:val="both"/>
        <w:rPr>
          <w:rFonts w:ascii="Arial" w:hAnsi="Arial" w:cs="Arial"/>
        </w:rPr>
      </w:pPr>
      <w:r w:rsidRPr="007C551A">
        <w:rPr>
          <w:rFonts w:ascii="Arial" w:hAnsi="Arial" w:cs="Arial"/>
        </w:rPr>
        <w:t xml:space="preserve">(iii) Les individus porteurs du QTL6R et des résistances mexicaines seront croisés entre eux afin de diversifier la source de résistance pour favoriser sa durabilité. </w:t>
      </w:r>
    </w:p>
    <w:p w14:paraId="2FDD3D64" w14:textId="77777777" w:rsidR="00BE6314" w:rsidRDefault="007C551A" w:rsidP="007C551A">
      <w:pPr>
        <w:jc w:val="both"/>
        <w:rPr>
          <w:rFonts w:ascii="Arial" w:hAnsi="Arial" w:cs="Arial"/>
        </w:rPr>
      </w:pPr>
      <w:r w:rsidRPr="007C551A">
        <w:rPr>
          <w:rFonts w:ascii="Arial" w:hAnsi="Arial" w:cs="Arial"/>
        </w:rPr>
        <w:t xml:space="preserve">Ce projet a l’ambition d’affiner la localisation du QTL6R de résistance et de cumuler ce QTL 6R avec les sources de résistance présentes dans les triticales </w:t>
      </w:r>
      <w:r w:rsidR="00864A1B" w:rsidRPr="007C551A">
        <w:rPr>
          <w:rFonts w:ascii="Arial" w:hAnsi="Arial" w:cs="Arial"/>
        </w:rPr>
        <w:t>mexicains,</w:t>
      </w:r>
      <w:r w:rsidR="00864A1B">
        <w:rPr>
          <w:rFonts w:ascii="Arial" w:hAnsi="Arial" w:cs="Arial"/>
        </w:rPr>
        <w:t xml:space="preserve"> </w:t>
      </w:r>
      <w:r w:rsidRPr="007C551A">
        <w:rPr>
          <w:rFonts w:ascii="Arial" w:hAnsi="Arial" w:cs="Arial"/>
        </w:rPr>
        <w:t>afin d’améliorer la durabilité de la résistance et de mettre à disposition des sélectionneurs des géniteurs cumulant les résistances.</w:t>
      </w:r>
    </w:p>
    <w:p w14:paraId="5588E218" w14:textId="77777777" w:rsidR="00BE6314" w:rsidRDefault="00BE6314" w:rsidP="00EC37DE">
      <w:pPr>
        <w:rPr>
          <w:rFonts w:ascii="Arial" w:hAnsi="Arial" w:cs="Arial"/>
        </w:rPr>
      </w:pPr>
    </w:p>
    <w:p w14:paraId="7F569878" w14:textId="77777777" w:rsidR="00BE6314" w:rsidRDefault="00BE6314" w:rsidP="00EC37DE">
      <w:pPr>
        <w:rPr>
          <w:rFonts w:ascii="Arial" w:hAnsi="Arial" w:cs="Arial"/>
        </w:rPr>
      </w:pPr>
    </w:p>
    <w:p w14:paraId="3824270F" w14:textId="77777777" w:rsidR="001A4B51" w:rsidRDefault="001A4B51" w:rsidP="00EC37DE">
      <w:pPr>
        <w:rPr>
          <w:rFonts w:ascii="Arial" w:hAnsi="Arial" w:cs="Arial"/>
          <w:b/>
          <w:bCs/>
          <w:sz w:val="28"/>
          <w:szCs w:val="28"/>
        </w:rPr>
      </w:pPr>
      <w:r w:rsidRPr="00A34A84">
        <w:rPr>
          <w:rFonts w:ascii="Arial" w:hAnsi="Arial" w:cs="Arial"/>
          <w:b/>
          <w:bCs/>
          <w:sz w:val="28"/>
          <w:szCs w:val="28"/>
        </w:rPr>
        <w:t>MOTS CLEFS</w:t>
      </w:r>
    </w:p>
    <w:p w14:paraId="5DFB40D7" w14:textId="77777777" w:rsidR="00BE6314" w:rsidRDefault="001A4B51" w:rsidP="00FB45BD">
      <w:pPr>
        <w:pBdr>
          <w:top w:val="single" w:sz="4" w:space="1" w:color="auto"/>
        </w:pBdr>
        <w:rPr>
          <w:rFonts w:ascii="Arial" w:hAnsi="Arial" w:cs="Arial"/>
        </w:rPr>
      </w:pPr>
      <w:r w:rsidRPr="001A4B51">
        <w:rPr>
          <w:rFonts w:ascii="Arial" w:hAnsi="Arial" w:cs="Arial"/>
          <w:i/>
        </w:rPr>
        <w:t>Axe de recherche / Espèces / Domaine / Autres</w:t>
      </w:r>
      <w:r>
        <w:rPr>
          <w:rFonts w:ascii="Arial" w:hAnsi="Arial" w:cs="Arial"/>
        </w:rPr>
        <w:t xml:space="preserve"> :</w:t>
      </w:r>
    </w:p>
    <w:p w14:paraId="0AF36282" w14:textId="77777777" w:rsidR="00FB45BD" w:rsidRDefault="00FB45BD" w:rsidP="00FB45BD">
      <w:pPr>
        <w:pBdr>
          <w:top w:val="single" w:sz="4" w:space="1" w:color="auto"/>
        </w:pBdr>
        <w:rPr>
          <w:rFonts w:ascii="Arial" w:hAnsi="Arial" w:cs="Arial"/>
        </w:rPr>
      </w:pPr>
    </w:p>
    <w:p w14:paraId="3616C601" w14:textId="77777777" w:rsidR="00FB45BD" w:rsidRDefault="007C551A" w:rsidP="00FB45BD">
      <w:pPr>
        <w:pBdr>
          <w:top w:val="single" w:sz="4" w:space="1" w:color="auto"/>
        </w:pBdr>
        <w:rPr>
          <w:rFonts w:ascii="Arial" w:hAnsi="Arial" w:cs="Arial"/>
        </w:rPr>
      </w:pPr>
      <w:r w:rsidRPr="007C551A">
        <w:rPr>
          <w:rFonts w:ascii="Arial" w:hAnsi="Arial" w:cs="Arial"/>
        </w:rPr>
        <w:t>Rouille jaune, Triticale, Sélection de variétés résistantes, Résistance durable, Cartographie fine, QT</w:t>
      </w:r>
      <w:r w:rsidR="00964DC9">
        <w:rPr>
          <w:rFonts w:ascii="Arial" w:hAnsi="Arial" w:cs="Arial"/>
        </w:rPr>
        <w:t>L</w:t>
      </w:r>
      <w:r w:rsidRPr="007C551A">
        <w:rPr>
          <w:rFonts w:ascii="Arial" w:hAnsi="Arial" w:cs="Arial"/>
        </w:rPr>
        <w:t>, GWAS</w:t>
      </w:r>
    </w:p>
    <w:p w14:paraId="22B6F7B8" w14:textId="77777777" w:rsidR="00FB45BD" w:rsidRPr="00FB45BD" w:rsidRDefault="00FB45BD" w:rsidP="00FB45BD">
      <w:pPr>
        <w:pBdr>
          <w:top w:val="single" w:sz="4" w:space="1" w:color="auto"/>
        </w:pBdr>
        <w:rPr>
          <w:rFonts w:ascii="Arial" w:hAnsi="Arial" w:cs="Arial"/>
        </w:rPr>
      </w:pPr>
      <w:r>
        <w:rPr>
          <w:rFonts w:ascii="Arial" w:hAnsi="Arial" w:cs="Arial"/>
        </w:rPr>
        <w:br w:type="page"/>
      </w:r>
    </w:p>
    <w:p w14:paraId="604A2223" w14:textId="77777777" w:rsidR="00E9352B" w:rsidRPr="00E9352B" w:rsidRDefault="00E9352B" w:rsidP="00E9352B">
      <w:pPr>
        <w:pBdr>
          <w:bottom w:val="single" w:sz="4" w:space="1" w:color="auto"/>
        </w:pBdr>
        <w:rPr>
          <w:rFonts w:ascii="Arial" w:hAnsi="Arial" w:cs="Arial"/>
          <w:sz w:val="6"/>
          <w:szCs w:val="6"/>
        </w:rPr>
      </w:pPr>
    </w:p>
    <w:p w14:paraId="170C7FD2" w14:textId="77777777" w:rsidR="00E9352B" w:rsidRDefault="00E9352B" w:rsidP="00A34A84">
      <w:pPr>
        <w:rPr>
          <w:rFonts w:ascii="Arial" w:hAnsi="Arial" w:cs="Arial"/>
        </w:rPr>
      </w:pPr>
    </w:p>
    <w:p w14:paraId="55904C5E" w14:textId="77777777" w:rsidR="00A34A84" w:rsidRPr="00E9352B" w:rsidRDefault="00D2706C" w:rsidP="00A34A84">
      <w:pPr>
        <w:rPr>
          <w:rFonts w:ascii="Arial" w:hAnsi="Arial" w:cs="Arial"/>
        </w:rPr>
      </w:pPr>
      <w:r>
        <w:rPr>
          <w:rFonts w:ascii="Arial" w:hAnsi="Arial" w:cs="Arial"/>
          <w:b/>
          <w:bCs/>
          <w:caps/>
          <w:sz w:val="28"/>
          <w:szCs w:val="28"/>
        </w:rPr>
        <w:t>CONTEXTE et JUSTIFICATION DU PROJET</w:t>
      </w:r>
    </w:p>
    <w:p w14:paraId="1BCE8B04" w14:textId="77777777" w:rsidR="00A34A84" w:rsidRDefault="00A34A84" w:rsidP="00A34A84">
      <w:pPr>
        <w:rPr>
          <w:rFonts w:ascii="Arial" w:hAnsi="Arial" w:cs="Arial"/>
        </w:rPr>
      </w:pPr>
    </w:p>
    <w:p w14:paraId="5DB7DC43" w14:textId="77777777" w:rsidR="00A34A84" w:rsidRDefault="00A34A84" w:rsidP="00A34A84">
      <w:pPr>
        <w:numPr>
          <w:ilvl w:val="0"/>
          <w:numId w:val="1"/>
        </w:numPr>
        <w:tabs>
          <w:tab w:val="clear" w:pos="1429"/>
          <w:tab w:val="num" w:pos="360"/>
        </w:tabs>
        <w:ind w:left="360"/>
        <w:rPr>
          <w:rFonts w:ascii="Arial" w:hAnsi="Arial" w:cs="Arial"/>
          <w:i/>
        </w:rPr>
      </w:pPr>
      <w:r w:rsidRPr="00D2706C">
        <w:rPr>
          <w:rFonts w:ascii="Arial" w:hAnsi="Arial" w:cs="Arial"/>
          <w:i/>
        </w:rPr>
        <w:t>Contexte et enjeux économiques (</w:t>
      </w:r>
      <w:r w:rsidR="00D2706C">
        <w:rPr>
          <w:rFonts w:ascii="Arial" w:hAnsi="Arial" w:cs="Arial"/>
          <w:i/>
        </w:rPr>
        <w:t>20 lignes</w:t>
      </w:r>
      <w:r w:rsidRPr="00D2706C">
        <w:rPr>
          <w:rFonts w:ascii="Arial" w:hAnsi="Arial" w:cs="Arial"/>
          <w:i/>
        </w:rPr>
        <w:t xml:space="preserve">) </w:t>
      </w:r>
    </w:p>
    <w:p w14:paraId="7189DEF0" w14:textId="77777777" w:rsidR="007C551A" w:rsidRPr="007C551A" w:rsidRDefault="007C551A" w:rsidP="007C551A">
      <w:pPr>
        <w:jc w:val="both"/>
        <w:rPr>
          <w:rFonts w:ascii="Arial" w:hAnsi="Arial" w:cs="Arial"/>
          <w:iCs/>
        </w:rPr>
      </w:pPr>
      <w:r w:rsidRPr="007C551A">
        <w:rPr>
          <w:rFonts w:ascii="Arial" w:hAnsi="Arial" w:cs="Arial"/>
          <w:iCs/>
        </w:rPr>
        <w:t xml:space="preserve">La rouille jaune causée par le champignon biotrophe Puccinia striiformis, est l’une des maladies les plus répandues et dévastatrices des céréales (Hovmøller et al., 2011). Une attaque sévère des feuilles supérieures et des glumes pénalise particulièrement les récoltes, réduit le poids de mille grains et provoque des pertes de rendement pouvant atteindre 40 à 80 %. Cette maladie explosive est difficile à enrayer si les traitements fongicides ne sont pas appliqués dès le démarrage de l’épidémie. Une forte épidémie nécessite l’application d’au moins deux traitements fongicides, ce qui est incompatible avec une stratégie de protection intégrée des cultures, économe en intrants, </w:t>
      </w:r>
      <w:r w:rsidR="00864A1B" w:rsidRPr="007C551A">
        <w:rPr>
          <w:rFonts w:ascii="Arial" w:hAnsi="Arial" w:cs="Arial"/>
          <w:iCs/>
        </w:rPr>
        <w:t>répondant aux</w:t>
      </w:r>
      <w:r w:rsidRPr="007C551A">
        <w:rPr>
          <w:rFonts w:ascii="Arial" w:hAnsi="Arial" w:cs="Arial"/>
          <w:iCs/>
        </w:rPr>
        <w:t xml:space="preserve"> exigences du projet Agroécologie adopté par le ministère. </w:t>
      </w:r>
    </w:p>
    <w:p w14:paraId="513A8CE8" w14:textId="77777777" w:rsidR="007C551A" w:rsidRPr="007C551A" w:rsidRDefault="007C551A" w:rsidP="007C551A">
      <w:pPr>
        <w:jc w:val="both"/>
        <w:rPr>
          <w:rFonts w:ascii="Arial" w:hAnsi="Arial" w:cs="Arial"/>
          <w:iCs/>
        </w:rPr>
      </w:pPr>
      <w:r w:rsidRPr="007C551A">
        <w:rPr>
          <w:rFonts w:ascii="Arial" w:hAnsi="Arial" w:cs="Arial"/>
          <w:iCs/>
        </w:rPr>
        <w:t>La rouille jaune est commune dans les régions au climat frais et humide (Hau et de Vallavieille-Pope, 2006). Depuis 2011</w:t>
      </w:r>
      <w:r w:rsidR="00864A1B">
        <w:rPr>
          <w:rFonts w:ascii="Arial" w:hAnsi="Arial" w:cs="Arial"/>
          <w:iCs/>
        </w:rPr>
        <w:t>,</w:t>
      </w:r>
      <w:r w:rsidRPr="007C551A">
        <w:rPr>
          <w:rFonts w:ascii="Arial" w:hAnsi="Arial" w:cs="Arial"/>
          <w:iCs/>
        </w:rPr>
        <w:t xml:space="preserve"> une souche </w:t>
      </w:r>
      <w:r w:rsidR="00864A1B" w:rsidRPr="007C551A">
        <w:rPr>
          <w:rFonts w:ascii="Arial" w:hAnsi="Arial" w:cs="Arial"/>
          <w:iCs/>
        </w:rPr>
        <w:t>multi virulente</w:t>
      </w:r>
      <w:r w:rsidRPr="007C551A">
        <w:rPr>
          <w:rFonts w:ascii="Arial" w:hAnsi="Arial" w:cs="Arial"/>
          <w:iCs/>
        </w:rPr>
        <w:t xml:space="preserve"> (Warrior) d’origine exotique, s’est propagée en Europe. Des conditions climatiques très favorables, ont entraîné d’importantes épidémies sur le blé tendre mais également sur des espèces rarement touchées jusqu’alors comme le triticale (Audenaert et al., 2014). De plus, une race (triticale </w:t>
      </w:r>
      <w:r w:rsidR="00864A1B" w:rsidRPr="007C551A">
        <w:rPr>
          <w:rFonts w:ascii="Arial" w:hAnsi="Arial" w:cs="Arial"/>
          <w:iCs/>
        </w:rPr>
        <w:t>agressive</w:t>
      </w:r>
      <w:r w:rsidRPr="007C551A">
        <w:rPr>
          <w:rFonts w:ascii="Arial" w:hAnsi="Arial" w:cs="Arial"/>
          <w:iCs/>
        </w:rPr>
        <w:t xml:space="preserve">) spécifique du triticale a causé de graves dégâts en Scandinavie et a été isolée à faible fréquence sur notre territoire. </w:t>
      </w:r>
    </w:p>
    <w:p w14:paraId="4E3C7387" w14:textId="77777777" w:rsidR="007C551A" w:rsidRPr="00D2706C" w:rsidRDefault="007C551A" w:rsidP="007C551A">
      <w:pPr>
        <w:ind w:left="360"/>
        <w:rPr>
          <w:rFonts w:ascii="Arial" w:hAnsi="Arial" w:cs="Arial"/>
          <w:i/>
        </w:rPr>
      </w:pPr>
    </w:p>
    <w:p w14:paraId="0028D452" w14:textId="77777777" w:rsidR="00A34A84" w:rsidRDefault="00A34A84" w:rsidP="00A34A84">
      <w:pPr>
        <w:numPr>
          <w:ilvl w:val="0"/>
          <w:numId w:val="1"/>
        </w:numPr>
        <w:tabs>
          <w:tab w:val="clear" w:pos="1429"/>
          <w:tab w:val="num" w:pos="360"/>
        </w:tabs>
        <w:ind w:left="360"/>
        <w:rPr>
          <w:rFonts w:ascii="Arial" w:hAnsi="Arial" w:cs="Arial"/>
          <w:i/>
        </w:rPr>
      </w:pPr>
      <w:r w:rsidRPr="00D2706C">
        <w:rPr>
          <w:rFonts w:ascii="Arial" w:hAnsi="Arial" w:cs="Arial"/>
          <w:i/>
        </w:rPr>
        <w:t xml:space="preserve">Contexte </w:t>
      </w:r>
      <w:r w:rsidR="00864A1B" w:rsidRPr="00D2706C">
        <w:rPr>
          <w:rFonts w:ascii="Arial" w:hAnsi="Arial" w:cs="Arial"/>
          <w:i/>
        </w:rPr>
        <w:t>scientifique :</w:t>
      </w:r>
      <w:r w:rsidRPr="00D2706C">
        <w:rPr>
          <w:rFonts w:ascii="Arial" w:hAnsi="Arial" w:cs="Arial"/>
          <w:i/>
        </w:rPr>
        <w:t xml:space="preserve"> étude bibliographique critique</w:t>
      </w:r>
    </w:p>
    <w:p w14:paraId="3965EBD6" w14:textId="77777777" w:rsidR="007C551A" w:rsidRPr="007C551A" w:rsidRDefault="007C551A" w:rsidP="007C551A">
      <w:pPr>
        <w:jc w:val="both"/>
        <w:rPr>
          <w:rFonts w:ascii="Arial" w:hAnsi="Arial" w:cs="Arial"/>
          <w:iCs/>
        </w:rPr>
      </w:pPr>
      <w:r w:rsidRPr="007C551A">
        <w:rPr>
          <w:rFonts w:ascii="Arial" w:hAnsi="Arial" w:cs="Arial"/>
          <w:iCs/>
        </w:rPr>
        <w:t xml:space="preserve">Le projet FSOV 2016F de recherche de résistances durable chez le triticale a mis en évidence un QTL majeur à effet fort et pléïotropique de la résistance à la rouille jaune dans les génotypes résistants Vuka et Maximal. Ce QTL, situé sur le chromosome 6R, explique jusqu’à 52.7% de la résistance des feuilles et 57% de la résistance de l’épi. </w:t>
      </w:r>
    </w:p>
    <w:p w14:paraId="1615445E" w14:textId="77777777" w:rsidR="007C551A" w:rsidRPr="007C551A" w:rsidRDefault="007C551A" w:rsidP="007C551A">
      <w:pPr>
        <w:jc w:val="both"/>
        <w:rPr>
          <w:rFonts w:ascii="Arial" w:hAnsi="Arial" w:cs="Arial"/>
          <w:iCs/>
        </w:rPr>
      </w:pPr>
      <w:r w:rsidRPr="007C551A">
        <w:rPr>
          <w:rFonts w:ascii="Arial" w:hAnsi="Arial" w:cs="Arial"/>
          <w:iCs/>
        </w:rPr>
        <w:t xml:space="preserve">Le seigle est le donneur du génome R du triticale. Il a fourni le gène de résistance </w:t>
      </w:r>
      <w:r w:rsidR="00964DC9">
        <w:rPr>
          <w:rFonts w:ascii="Arial" w:hAnsi="Arial" w:cs="Arial"/>
          <w:iCs/>
        </w:rPr>
        <w:t xml:space="preserve">à la rouille jaune </w:t>
      </w:r>
      <w:r w:rsidRPr="00DB6972">
        <w:rPr>
          <w:rFonts w:ascii="Arial" w:hAnsi="Arial" w:cs="Arial"/>
          <w:i/>
        </w:rPr>
        <w:t>Yr9</w:t>
      </w:r>
      <w:r w:rsidR="00964DC9">
        <w:rPr>
          <w:rFonts w:ascii="Arial" w:hAnsi="Arial" w:cs="Arial"/>
          <w:i/>
        </w:rPr>
        <w:t>,</w:t>
      </w:r>
      <w:r w:rsidRPr="007C551A">
        <w:rPr>
          <w:rFonts w:ascii="Arial" w:hAnsi="Arial" w:cs="Arial"/>
          <w:iCs/>
        </w:rPr>
        <w:t xml:space="preserve"> localisé sur le chromosome 1RS</w:t>
      </w:r>
      <w:r w:rsidR="00964DC9">
        <w:rPr>
          <w:rFonts w:ascii="Arial" w:hAnsi="Arial" w:cs="Arial"/>
          <w:iCs/>
        </w:rPr>
        <w:t xml:space="preserve"> </w:t>
      </w:r>
      <w:r w:rsidR="00864A1B">
        <w:rPr>
          <w:rFonts w:ascii="Arial" w:hAnsi="Arial" w:cs="Arial"/>
          <w:iCs/>
        </w:rPr>
        <w:t xml:space="preserve">et </w:t>
      </w:r>
      <w:r w:rsidR="00864A1B" w:rsidRPr="007C551A">
        <w:rPr>
          <w:rFonts w:ascii="Arial" w:hAnsi="Arial" w:cs="Arial"/>
          <w:iCs/>
        </w:rPr>
        <w:t>aujourd’hui</w:t>
      </w:r>
      <w:r w:rsidRPr="007C551A">
        <w:rPr>
          <w:rFonts w:ascii="Arial" w:hAnsi="Arial" w:cs="Arial"/>
          <w:iCs/>
        </w:rPr>
        <w:t xml:space="preserve"> contourné, et il peut être source </w:t>
      </w:r>
      <w:r w:rsidR="00964DC9">
        <w:rPr>
          <w:rFonts w:ascii="Arial" w:hAnsi="Arial" w:cs="Arial"/>
          <w:iCs/>
        </w:rPr>
        <w:t>d’autres</w:t>
      </w:r>
      <w:r w:rsidRPr="007C551A">
        <w:rPr>
          <w:rFonts w:ascii="Arial" w:hAnsi="Arial" w:cs="Arial"/>
          <w:iCs/>
        </w:rPr>
        <w:t xml:space="preserve"> résistances (Yang et al 2014). Un QTL majeur de résistance à la rouille jaune (Schneider et al, 2016) est identifié sur le chromosome 6R chez le seigle pérenne Kriszta (</w:t>
      </w:r>
      <w:r w:rsidRPr="00DB6972">
        <w:rPr>
          <w:rFonts w:ascii="Arial" w:hAnsi="Arial" w:cs="Arial"/>
          <w:i/>
        </w:rPr>
        <w:t>Secale cereanum</w:t>
      </w:r>
      <w:r w:rsidRPr="007C551A">
        <w:rPr>
          <w:rFonts w:ascii="Arial" w:hAnsi="Arial" w:cs="Arial"/>
          <w:iCs/>
        </w:rPr>
        <w:t xml:space="preserve"> : croisement entre </w:t>
      </w:r>
      <w:r w:rsidRPr="00964DC9">
        <w:rPr>
          <w:rFonts w:ascii="Arial" w:hAnsi="Arial" w:cs="Arial"/>
          <w:i/>
        </w:rPr>
        <w:t>S</w:t>
      </w:r>
      <w:r w:rsidR="00DB6972" w:rsidRPr="00964DC9">
        <w:rPr>
          <w:rFonts w:ascii="Arial" w:hAnsi="Arial" w:cs="Arial"/>
          <w:i/>
        </w:rPr>
        <w:t>.</w:t>
      </w:r>
      <w:r w:rsidRPr="00964DC9">
        <w:rPr>
          <w:rFonts w:ascii="Arial" w:hAnsi="Arial" w:cs="Arial"/>
          <w:i/>
        </w:rPr>
        <w:t xml:space="preserve"> cereale</w:t>
      </w:r>
      <w:r w:rsidRPr="00964DC9">
        <w:rPr>
          <w:rFonts w:ascii="Arial" w:hAnsi="Arial" w:cs="Arial"/>
          <w:iCs/>
        </w:rPr>
        <w:t xml:space="preserve"> et </w:t>
      </w:r>
      <w:r w:rsidRPr="00964DC9">
        <w:rPr>
          <w:rFonts w:ascii="Arial" w:hAnsi="Arial" w:cs="Arial"/>
          <w:i/>
        </w:rPr>
        <w:t>S</w:t>
      </w:r>
      <w:r w:rsidR="00DB6972" w:rsidRPr="00964DC9">
        <w:rPr>
          <w:rFonts w:ascii="Arial" w:hAnsi="Arial" w:cs="Arial"/>
          <w:i/>
        </w:rPr>
        <w:t>.</w:t>
      </w:r>
      <w:r w:rsidRPr="00964DC9">
        <w:rPr>
          <w:rFonts w:ascii="Arial" w:hAnsi="Arial" w:cs="Arial"/>
          <w:i/>
        </w:rPr>
        <w:t xml:space="preserve"> montanum</w:t>
      </w:r>
      <w:r w:rsidRPr="00964DC9">
        <w:rPr>
          <w:rFonts w:ascii="Arial" w:hAnsi="Arial" w:cs="Arial"/>
          <w:iCs/>
        </w:rPr>
        <w:t xml:space="preserve">). Ce gène provient du chromosome 2RL de </w:t>
      </w:r>
      <w:r w:rsidRPr="00964DC9">
        <w:rPr>
          <w:rFonts w:ascii="Arial" w:hAnsi="Arial" w:cs="Arial"/>
          <w:i/>
        </w:rPr>
        <w:t>S. montanum</w:t>
      </w:r>
      <w:r w:rsidRPr="007C551A">
        <w:rPr>
          <w:rFonts w:ascii="Arial" w:hAnsi="Arial" w:cs="Arial"/>
          <w:iCs/>
        </w:rPr>
        <w:t xml:space="preserve"> ssp. </w:t>
      </w:r>
      <w:r w:rsidRPr="00964DC9">
        <w:rPr>
          <w:rFonts w:ascii="Arial" w:hAnsi="Arial" w:cs="Arial"/>
          <w:i/>
        </w:rPr>
        <w:t>africanum</w:t>
      </w:r>
      <w:r w:rsidRPr="007C551A">
        <w:rPr>
          <w:rFonts w:ascii="Arial" w:hAnsi="Arial" w:cs="Arial"/>
          <w:iCs/>
        </w:rPr>
        <w:t xml:space="preserve"> (Lei et al. 2013). Deux marqueurs SSR</w:t>
      </w:r>
      <w:r w:rsidR="00864A1B" w:rsidRPr="007C551A">
        <w:rPr>
          <w:rFonts w:ascii="Arial" w:hAnsi="Arial" w:cs="Arial"/>
          <w:iCs/>
        </w:rPr>
        <w:t>, GRM609 et SCM28</w:t>
      </w:r>
      <w:r w:rsidR="00864A1B">
        <w:rPr>
          <w:rFonts w:ascii="Arial" w:hAnsi="Arial" w:cs="Arial"/>
          <w:iCs/>
        </w:rPr>
        <w:t>,</w:t>
      </w:r>
      <w:r w:rsidRPr="007C551A">
        <w:rPr>
          <w:rFonts w:ascii="Arial" w:hAnsi="Arial" w:cs="Arial"/>
          <w:iCs/>
        </w:rPr>
        <w:t xml:space="preserve"> définissent l’introgression 6R de Kriszta provoquant la résistance (Saal and Wricke</w:t>
      </w:r>
      <w:r w:rsidR="000C365E">
        <w:rPr>
          <w:rFonts w:ascii="Arial" w:hAnsi="Arial" w:cs="Arial"/>
          <w:iCs/>
        </w:rPr>
        <w:t>,</w:t>
      </w:r>
      <w:r w:rsidRPr="007C551A">
        <w:rPr>
          <w:rFonts w:ascii="Arial" w:hAnsi="Arial" w:cs="Arial"/>
          <w:iCs/>
        </w:rPr>
        <w:t xml:space="preserve"> 1999).</w:t>
      </w:r>
    </w:p>
    <w:p w14:paraId="48EC80EC" w14:textId="77777777" w:rsidR="007C551A" w:rsidRPr="007C551A" w:rsidRDefault="007C551A" w:rsidP="007C551A">
      <w:pPr>
        <w:jc w:val="both"/>
        <w:rPr>
          <w:rFonts w:ascii="Arial" w:hAnsi="Arial" w:cs="Arial"/>
          <w:iCs/>
        </w:rPr>
      </w:pPr>
    </w:p>
    <w:p w14:paraId="341AAF1C" w14:textId="77777777" w:rsidR="007C551A" w:rsidRPr="007C551A" w:rsidRDefault="007C551A" w:rsidP="007C551A">
      <w:pPr>
        <w:jc w:val="both"/>
        <w:rPr>
          <w:rFonts w:ascii="Arial" w:hAnsi="Arial" w:cs="Arial"/>
          <w:iCs/>
        </w:rPr>
      </w:pPr>
      <w:r w:rsidRPr="007C551A">
        <w:rPr>
          <w:rFonts w:ascii="Arial" w:hAnsi="Arial" w:cs="Arial"/>
          <w:iCs/>
        </w:rPr>
        <w:t xml:space="preserve">Pour cartographier en haute densité un QTL, de très nombreux marqueurs sont nécessaires. Des marqueurs Dart de triticales ont été utilisés dans le FSOV2016F, mais ils sont </w:t>
      </w:r>
      <w:r w:rsidR="000151C0" w:rsidRPr="00E75C04">
        <w:rPr>
          <w:rFonts w:ascii="Arial" w:hAnsi="Arial" w:cs="Arial"/>
        </w:rPr>
        <w:t>difficiles</w:t>
      </w:r>
      <w:r w:rsidRPr="007C551A">
        <w:rPr>
          <w:rFonts w:ascii="Arial" w:hAnsi="Arial" w:cs="Arial"/>
          <w:iCs/>
        </w:rPr>
        <w:t xml:space="preserve"> à convertir en marqueurs utilisables en routine. De plus aucune puce AXIOM de triticale n’est disponible. Cependant, le génome de la variété de seigle Lo7 est séquencé et organisé en contigs et 800</w:t>
      </w:r>
      <w:r w:rsidR="00864A1B">
        <w:rPr>
          <w:rFonts w:ascii="Arial" w:hAnsi="Arial" w:cs="Arial"/>
          <w:iCs/>
        </w:rPr>
        <w:t xml:space="preserve"> 000</w:t>
      </w:r>
      <w:r w:rsidRPr="007C551A">
        <w:rPr>
          <w:rFonts w:ascii="Arial" w:hAnsi="Arial" w:cs="Arial"/>
          <w:iCs/>
        </w:rPr>
        <w:t xml:space="preserve"> marqueurs AXIOM sont cartographiés génétiquement (Bauer et al, 2017). 16000 de ces marqueurs de seigle ciblent le chromosome 6R constituant une source abondante de marqueurs Kaspar pour saturer la zone du QTL6R. Les marqueurs Dart de triticale s’assignant aisément sur le génome de référence de blé (IWGSC 2.0) et les contigs du seigle Lo7, il devrait être possible de faire l’inverse en assignant les marqueurs AXIOM blé de puce TaBW35K sur les contigs de seigle permettant ainsi un génotypage des génomes ABR du panel de triticales franco-mexicain avec cette seule puce.</w:t>
      </w:r>
    </w:p>
    <w:p w14:paraId="7EBC82AF" w14:textId="77777777" w:rsidR="007C551A" w:rsidRPr="007C551A" w:rsidRDefault="007C551A" w:rsidP="007C551A">
      <w:pPr>
        <w:jc w:val="both"/>
        <w:rPr>
          <w:rFonts w:ascii="Arial" w:hAnsi="Arial" w:cs="Arial"/>
          <w:iCs/>
        </w:rPr>
      </w:pPr>
    </w:p>
    <w:p w14:paraId="20EE78A6" w14:textId="77777777" w:rsidR="007C551A" w:rsidRPr="00964DC9" w:rsidRDefault="007C551A" w:rsidP="007C551A">
      <w:pPr>
        <w:jc w:val="both"/>
        <w:rPr>
          <w:rFonts w:ascii="Arial" w:hAnsi="Arial" w:cs="Arial"/>
          <w:iCs/>
          <w:sz w:val="22"/>
          <w:szCs w:val="22"/>
        </w:rPr>
      </w:pPr>
      <w:r w:rsidRPr="00964DC9">
        <w:rPr>
          <w:rFonts w:ascii="Arial" w:hAnsi="Arial" w:cs="Arial"/>
          <w:iCs/>
          <w:sz w:val="22"/>
          <w:szCs w:val="22"/>
          <w:lang w:val="en-GB"/>
        </w:rPr>
        <w:t>Hovmøller MS, Walter S, Justesen AF (2010</w:t>
      </w:r>
      <w:r w:rsidR="00864A1B" w:rsidRPr="00964DC9">
        <w:rPr>
          <w:rFonts w:ascii="Arial" w:hAnsi="Arial" w:cs="Arial"/>
          <w:iCs/>
          <w:sz w:val="22"/>
          <w:szCs w:val="22"/>
          <w:lang w:val="en-GB"/>
        </w:rPr>
        <w:t>) Escalating</w:t>
      </w:r>
      <w:r w:rsidRPr="00964DC9">
        <w:rPr>
          <w:rFonts w:ascii="Arial" w:hAnsi="Arial" w:cs="Arial"/>
          <w:iCs/>
          <w:sz w:val="22"/>
          <w:szCs w:val="22"/>
          <w:lang w:val="en-GB"/>
        </w:rPr>
        <w:t xml:space="preserve"> threat of wheat rusts. </w:t>
      </w:r>
      <w:r w:rsidRPr="00964DC9">
        <w:rPr>
          <w:rFonts w:ascii="Arial" w:hAnsi="Arial" w:cs="Arial"/>
          <w:iCs/>
          <w:sz w:val="22"/>
          <w:szCs w:val="22"/>
        </w:rPr>
        <w:t>Science 329 : 369</w:t>
      </w:r>
    </w:p>
    <w:p w14:paraId="7797428E" w14:textId="77777777" w:rsidR="007C551A" w:rsidRPr="00964DC9" w:rsidRDefault="007C551A" w:rsidP="007C551A">
      <w:pPr>
        <w:jc w:val="both"/>
        <w:rPr>
          <w:rFonts w:ascii="Arial" w:hAnsi="Arial" w:cs="Arial"/>
          <w:iCs/>
          <w:sz w:val="22"/>
          <w:szCs w:val="22"/>
          <w:lang w:val="en-GB"/>
        </w:rPr>
      </w:pPr>
      <w:r w:rsidRPr="00964DC9">
        <w:rPr>
          <w:rFonts w:ascii="Arial" w:hAnsi="Arial" w:cs="Arial"/>
          <w:iCs/>
          <w:sz w:val="22"/>
          <w:szCs w:val="22"/>
        </w:rPr>
        <w:lastRenderedPageBreak/>
        <w:t xml:space="preserve">Hau B et de Vallavieille-Pope C (2006) Wind-dispersed diseases. </w:t>
      </w:r>
      <w:r w:rsidRPr="00964DC9">
        <w:rPr>
          <w:rFonts w:ascii="Arial" w:hAnsi="Arial" w:cs="Arial"/>
          <w:iCs/>
          <w:sz w:val="22"/>
          <w:szCs w:val="22"/>
          <w:lang w:val="en-GB"/>
        </w:rPr>
        <w:t>In: The Epidemiology of Plant Diseases. p. 387-416, Eds BM:Cooke, D Gareth Jones and B Kaye, Second Edition, Springer, Dordrecht, The Netherlands</w:t>
      </w:r>
    </w:p>
    <w:p w14:paraId="00E14204" w14:textId="77777777" w:rsidR="00587652" w:rsidRPr="00964DC9" w:rsidRDefault="00587652" w:rsidP="00587652">
      <w:pPr>
        <w:spacing w:after="120"/>
        <w:jc w:val="both"/>
        <w:rPr>
          <w:rFonts w:ascii="Arial" w:hAnsi="Arial" w:cs="Arial"/>
          <w:sz w:val="22"/>
          <w:szCs w:val="22"/>
          <w:lang w:val="en-GB"/>
        </w:rPr>
      </w:pPr>
      <w:r w:rsidRPr="00964DC9">
        <w:rPr>
          <w:rFonts w:ascii="Arial" w:hAnsi="Arial" w:cs="Arial"/>
          <w:sz w:val="22"/>
          <w:szCs w:val="22"/>
          <w:lang w:val="en-IE"/>
        </w:rPr>
        <w:t xml:space="preserve">Audenaert K., Troch V., Landschoot S., Haesaert G., 2014. Biotic stresses in the anthropogenic hybrid </w:t>
      </w:r>
      <w:r w:rsidRPr="00964DC9">
        <w:rPr>
          <w:rStyle w:val="hithilite"/>
          <w:rFonts w:ascii="Arial" w:hAnsi="Arial" w:cs="Arial"/>
          <w:sz w:val="22"/>
          <w:szCs w:val="22"/>
          <w:lang w:val="en-IE"/>
        </w:rPr>
        <w:t>triticale</w:t>
      </w:r>
      <w:r w:rsidRPr="00964DC9">
        <w:rPr>
          <w:rFonts w:ascii="Arial" w:hAnsi="Arial" w:cs="Arial"/>
          <w:sz w:val="22"/>
          <w:szCs w:val="22"/>
          <w:lang w:val="en-IE"/>
        </w:rPr>
        <w:t xml:space="preserve"> (</w:t>
      </w:r>
      <w:r w:rsidRPr="00964DC9">
        <w:rPr>
          <w:rFonts w:ascii="Arial" w:hAnsi="Arial" w:cs="Arial"/>
          <w:i/>
          <w:iCs/>
          <w:sz w:val="22"/>
          <w:szCs w:val="22"/>
          <w:lang w:val="en-IE"/>
        </w:rPr>
        <w:t>Triticosecale</w:t>
      </w:r>
      <w:r w:rsidRPr="00964DC9">
        <w:rPr>
          <w:rFonts w:ascii="Arial" w:hAnsi="Arial" w:cs="Arial"/>
          <w:sz w:val="22"/>
          <w:szCs w:val="22"/>
          <w:lang w:val="en-IE"/>
        </w:rPr>
        <w:t xml:space="preserve"> Wittmack): current knowledge and breeding challenges. </w:t>
      </w:r>
      <w:r w:rsidRPr="00964DC9">
        <w:rPr>
          <w:rFonts w:ascii="Arial" w:hAnsi="Arial" w:cs="Arial"/>
          <w:i/>
          <w:sz w:val="22"/>
          <w:szCs w:val="22"/>
          <w:lang w:val="en-IE"/>
        </w:rPr>
        <w:t>European Journal of Plant Pathology</w:t>
      </w:r>
      <w:r w:rsidRPr="00964DC9">
        <w:rPr>
          <w:rStyle w:val="databold"/>
          <w:rFonts w:ascii="Arial" w:hAnsi="Arial" w:cs="Arial"/>
          <w:sz w:val="22"/>
          <w:szCs w:val="22"/>
          <w:lang w:val="en-IE"/>
        </w:rPr>
        <w:t>140, 615-630.</w:t>
      </w:r>
    </w:p>
    <w:p w14:paraId="5CAE53D1" w14:textId="77777777" w:rsidR="007C551A" w:rsidRPr="00964DC9" w:rsidRDefault="00587652" w:rsidP="007C551A">
      <w:pPr>
        <w:jc w:val="both"/>
        <w:rPr>
          <w:rFonts w:ascii="Arial" w:hAnsi="Arial" w:cs="Arial"/>
          <w:iCs/>
          <w:sz w:val="22"/>
          <w:szCs w:val="22"/>
          <w:lang w:val="en-GB"/>
        </w:rPr>
      </w:pPr>
      <w:r w:rsidRPr="00964DC9">
        <w:rPr>
          <w:rFonts w:ascii="Arial" w:hAnsi="Arial" w:cs="Arial"/>
          <w:sz w:val="22"/>
          <w:szCs w:val="22"/>
          <w:lang w:val="en-IE"/>
        </w:rPr>
        <w:t xml:space="preserve">Yang MY, Ren TH, Yan BJ, Li Z, Diversity resistance to </w:t>
      </w:r>
      <w:r w:rsidRPr="00964DC9">
        <w:rPr>
          <w:rStyle w:val="hithilite"/>
          <w:rFonts w:ascii="Arial" w:hAnsi="Arial" w:cs="Arial"/>
          <w:i/>
          <w:iCs/>
          <w:sz w:val="22"/>
          <w:szCs w:val="22"/>
          <w:lang w:val="en-IE"/>
        </w:rPr>
        <w:t>Puccinia striiformis</w:t>
      </w:r>
      <w:r w:rsidRPr="00964DC9">
        <w:rPr>
          <w:rFonts w:ascii="Arial" w:hAnsi="Arial" w:cs="Arial"/>
          <w:sz w:val="22"/>
          <w:szCs w:val="22"/>
          <w:lang w:val="en-IE"/>
        </w:rPr>
        <w:t xml:space="preserve"> f. </w:t>
      </w:r>
      <w:r w:rsidR="007C551A" w:rsidRPr="00964DC9">
        <w:rPr>
          <w:rFonts w:ascii="Arial" w:hAnsi="Arial" w:cs="Arial"/>
          <w:iCs/>
          <w:sz w:val="22"/>
          <w:szCs w:val="22"/>
          <w:lang w:val="en-GB"/>
        </w:rPr>
        <w:t>Schneider A, Rakszegi M, Molnar</w:t>
      </w:r>
      <w:r w:rsidR="007C551A" w:rsidRPr="00964DC9">
        <w:rPr>
          <w:rFonts w:ascii="Cambria Math" w:hAnsi="Cambria Math" w:cs="Cambria Math"/>
          <w:iCs/>
          <w:sz w:val="22"/>
          <w:szCs w:val="22"/>
          <w:lang w:val="en-GB"/>
        </w:rPr>
        <w:t>‑</w:t>
      </w:r>
      <w:r w:rsidR="007C551A" w:rsidRPr="00964DC9">
        <w:rPr>
          <w:rFonts w:ascii="Arial" w:hAnsi="Arial" w:cs="Arial"/>
          <w:iCs/>
          <w:sz w:val="22"/>
          <w:szCs w:val="22"/>
          <w:lang w:val="en-GB"/>
        </w:rPr>
        <w:t>Lang M, Szakács E (2016) Production and cytomolecular identification of new wheat</w:t>
      </w:r>
      <w:r w:rsidR="007C551A" w:rsidRPr="00964DC9">
        <w:rPr>
          <w:rFonts w:ascii="Cambria Math" w:hAnsi="Cambria Math" w:cs="Cambria Math"/>
          <w:iCs/>
          <w:sz w:val="22"/>
          <w:szCs w:val="22"/>
          <w:lang w:val="en-GB"/>
        </w:rPr>
        <w:t>‑</w:t>
      </w:r>
      <w:r w:rsidR="007C551A" w:rsidRPr="00964DC9">
        <w:rPr>
          <w:rFonts w:ascii="Arial" w:hAnsi="Arial" w:cs="Arial"/>
          <w:iCs/>
          <w:sz w:val="22"/>
          <w:szCs w:val="22"/>
          <w:lang w:val="en-GB"/>
        </w:rPr>
        <w:t>perennial rye (</w:t>
      </w:r>
      <w:r w:rsidR="007C551A" w:rsidRPr="00864A1B">
        <w:rPr>
          <w:rFonts w:ascii="Arial" w:hAnsi="Arial" w:cs="Arial"/>
          <w:i/>
          <w:sz w:val="22"/>
          <w:szCs w:val="22"/>
          <w:lang w:val="en-GB"/>
        </w:rPr>
        <w:t>Secale cereanum</w:t>
      </w:r>
      <w:r w:rsidR="007C551A" w:rsidRPr="00964DC9">
        <w:rPr>
          <w:rFonts w:ascii="Arial" w:hAnsi="Arial" w:cs="Arial"/>
          <w:iCs/>
          <w:sz w:val="22"/>
          <w:szCs w:val="22"/>
          <w:lang w:val="en-GB"/>
        </w:rPr>
        <w:t>) disomic addition lines with yellow rust resistance (6R) and increased arabinoxylan and protein content (1R, 4R, 6R). Theoretical and Applied Genetics 129: 1045-1060</w:t>
      </w:r>
    </w:p>
    <w:p w14:paraId="26D253E4" w14:textId="77777777" w:rsidR="007C551A" w:rsidRPr="00964DC9" w:rsidRDefault="007C551A" w:rsidP="007C551A">
      <w:pPr>
        <w:jc w:val="both"/>
        <w:rPr>
          <w:rFonts w:ascii="Arial" w:hAnsi="Arial" w:cs="Arial"/>
          <w:iCs/>
          <w:sz w:val="22"/>
          <w:szCs w:val="22"/>
          <w:lang w:val="en-GB"/>
        </w:rPr>
      </w:pPr>
      <w:r w:rsidRPr="00964DC9">
        <w:rPr>
          <w:rFonts w:ascii="Arial" w:hAnsi="Arial" w:cs="Arial"/>
          <w:iCs/>
          <w:sz w:val="22"/>
          <w:szCs w:val="22"/>
          <w:lang w:val="en-GB"/>
        </w:rPr>
        <w:t>sp Tritici in rye chromosome arm 1RS expressed in wheat. Genetics and Molecular Research 13: 8783-8793</w:t>
      </w:r>
    </w:p>
    <w:p w14:paraId="6DE92466" w14:textId="77777777" w:rsidR="007C551A" w:rsidRPr="00964DC9" w:rsidRDefault="007C551A" w:rsidP="007C551A">
      <w:pPr>
        <w:jc w:val="both"/>
        <w:rPr>
          <w:rFonts w:ascii="Arial" w:hAnsi="Arial" w:cs="Arial"/>
          <w:iCs/>
          <w:sz w:val="22"/>
          <w:szCs w:val="22"/>
          <w:lang w:val="en-GB"/>
        </w:rPr>
      </w:pPr>
      <w:r w:rsidRPr="00964DC9">
        <w:rPr>
          <w:rFonts w:ascii="Arial" w:hAnsi="Arial" w:cs="Arial"/>
          <w:iCs/>
          <w:sz w:val="22"/>
          <w:szCs w:val="22"/>
          <w:lang w:val="en-GB"/>
        </w:rPr>
        <w:t>Lei M-P, Li G-R, Zhou L, Li C-H, Liu C, Yang Z-J (2013) Identification of wheat-Secale africanum chromosome 2Rafr introgression lines with novel disease resistance and agronomic characteristics. Euphytica 194:197–205</w:t>
      </w:r>
    </w:p>
    <w:p w14:paraId="24263D57" w14:textId="77777777" w:rsidR="007C551A" w:rsidRPr="00E32840" w:rsidRDefault="007C551A" w:rsidP="007C551A">
      <w:pPr>
        <w:jc w:val="both"/>
        <w:rPr>
          <w:rFonts w:ascii="Arial" w:hAnsi="Arial" w:cs="Arial"/>
          <w:iCs/>
          <w:sz w:val="22"/>
          <w:szCs w:val="22"/>
          <w:lang w:val="en-US"/>
        </w:rPr>
      </w:pPr>
      <w:r w:rsidRPr="00964DC9">
        <w:rPr>
          <w:rFonts w:ascii="Arial" w:hAnsi="Arial" w:cs="Arial"/>
          <w:iCs/>
          <w:sz w:val="22"/>
          <w:szCs w:val="22"/>
          <w:lang w:val="en-GB"/>
        </w:rPr>
        <w:t>Saal B and Wricke G (1999) Development of simple sequence repeat markers in rye (</w:t>
      </w:r>
      <w:r w:rsidRPr="00964DC9">
        <w:rPr>
          <w:rFonts w:ascii="Arial" w:hAnsi="Arial" w:cs="Arial"/>
          <w:i/>
          <w:sz w:val="22"/>
          <w:szCs w:val="22"/>
          <w:lang w:val="en-GB"/>
        </w:rPr>
        <w:t>Secale cereale</w:t>
      </w:r>
      <w:r w:rsidRPr="00964DC9">
        <w:rPr>
          <w:rFonts w:ascii="Arial" w:hAnsi="Arial" w:cs="Arial"/>
          <w:iCs/>
          <w:sz w:val="22"/>
          <w:szCs w:val="22"/>
          <w:lang w:val="en-GB"/>
        </w:rPr>
        <w:t xml:space="preserve"> L.) </w:t>
      </w:r>
      <w:r w:rsidRPr="00E32840">
        <w:rPr>
          <w:rFonts w:ascii="Arial" w:hAnsi="Arial" w:cs="Arial"/>
          <w:iCs/>
          <w:sz w:val="22"/>
          <w:szCs w:val="22"/>
          <w:lang w:val="en-US"/>
        </w:rPr>
        <w:t>Genome 42:964-972.</w:t>
      </w:r>
    </w:p>
    <w:p w14:paraId="6A0BF5D0" w14:textId="77777777" w:rsidR="007C551A" w:rsidRPr="00964DC9" w:rsidRDefault="007C551A" w:rsidP="007C551A">
      <w:pPr>
        <w:jc w:val="both"/>
        <w:rPr>
          <w:rFonts w:ascii="Arial" w:hAnsi="Arial" w:cs="Arial"/>
          <w:iCs/>
          <w:sz w:val="22"/>
          <w:szCs w:val="22"/>
          <w:lang w:val="en-GB"/>
        </w:rPr>
      </w:pPr>
      <w:r w:rsidRPr="00E32840">
        <w:rPr>
          <w:rFonts w:ascii="Arial" w:hAnsi="Arial" w:cs="Arial"/>
          <w:iCs/>
          <w:sz w:val="22"/>
          <w:szCs w:val="22"/>
          <w:lang w:val="en-US"/>
        </w:rPr>
        <w:t>Bauer E, Schmutzer T, Barilar I, Mascher M, Gundlach H, Martis MM, Twardziok SO, Hackauf B, Gordillo A, Wilde P, Schmidt M, Korzun V, Mayer KFX, Schmid K, Schön CC and Scholz U (2017) Towards a whole-genome sequence for rye (</w:t>
      </w:r>
      <w:r w:rsidRPr="00E32840">
        <w:rPr>
          <w:rFonts w:ascii="Arial" w:hAnsi="Arial" w:cs="Arial"/>
          <w:i/>
          <w:sz w:val="22"/>
          <w:szCs w:val="22"/>
          <w:lang w:val="en-US"/>
        </w:rPr>
        <w:t>Secale cereale</w:t>
      </w:r>
      <w:r w:rsidRPr="00E32840">
        <w:rPr>
          <w:rFonts w:ascii="Arial" w:hAnsi="Arial" w:cs="Arial"/>
          <w:iCs/>
          <w:sz w:val="22"/>
          <w:szCs w:val="22"/>
          <w:lang w:val="en-US"/>
        </w:rPr>
        <w:t xml:space="preserve"> L.). </w:t>
      </w:r>
      <w:r w:rsidRPr="00964DC9">
        <w:rPr>
          <w:rFonts w:ascii="Arial" w:hAnsi="Arial" w:cs="Arial"/>
          <w:iCs/>
          <w:sz w:val="22"/>
          <w:szCs w:val="22"/>
          <w:lang w:val="en-GB"/>
        </w:rPr>
        <w:t>The Plant Journal 89: 853–869</w:t>
      </w:r>
    </w:p>
    <w:p w14:paraId="67E22A24" w14:textId="77777777" w:rsidR="007C551A" w:rsidRPr="00D2706C" w:rsidRDefault="007C551A" w:rsidP="007C551A">
      <w:pPr>
        <w:rPr>
          <w:rFonts w:ascii="Arial" w:hAnsi="Arial" w:cs="Arial"/>
          <w:i/>
        </w:rPr>
      </w:pPr>
    </w:p>
    <w:p w14:paraId="6A779166" w14:textId="77777777" w:rsidR="00A34A84" w:rsidRPr="00E9352B" w:rsidRDefault="00A34A84" w:rsidP="003B6C87">
      <w:pPr>
        <w:numPr>
          <w:ilvl w:val="0"/>
          <w:numId w:val="1"/>
        </w:numPr>
        <w:tabs>
          <w:tab w:val="clear" w:pos="1429"/>
          <w:tab w:val="num" w:pos="360"/>
        </w:tabs>
        <w:ind w:left="360"/>
        <w:rPr>
          <w:rFonts w:ascii="Arial" w:hAnsi="Arial" w:cs="Arial"/>
        </w:rPr>
      </w:pPr>
      <w:r w:rsidRPr="00E9352B">
        <w:rPr>
          <w:rFonts w:ascii="Arial" w:hAnsi="Arial" w:cs="Arial"/>
          <w:i/>
        </w:rPr>
        <w:t>Travaux et/ou publications des demandeurs et partenaires sur le sujet</w:t>
      </w:r>
    </w:p>
    <w:p w14:paraId="0811EC98" w14:textId="77777777" w:rsidR="007C551A" w:rsidRPr="007C551A" w:rsidRDefault="007C551A" w:rsidP="007C551A">
      <w:pPr>
        <w:jc w:val="both"/>
        <w:rPr>
          <w:rFonts w:ascii="Arial" w:hAnsi="Arial" w:cs="Arial"/>
          <w:iCs/>
        </w:rPr>
      </w:pPr>
      <w:r w:rsidRPr="007C551A">
        <w:rPr>
          <w:rFonts w:ascii="Arial" w:hAnsi="Arial" w:cs="Arial"/>
          <w:iCs/>
          <w:lang w:val="en-GB"/>
        </w:rPr>
        <w:t xml:space="preserve">Mallard S, Gaudet D, Aldeia A, Abelard C, Besnard AL, Sourdille P, Dedryver F (2005) Genetic analysis of durable resistance to yellow rust in bread wheat. </w:t>
      </w:r>
      <w:r w:rsidRPr="007C551A">
        <w:rPr>
          <w:rFonts w:ascii="Arial" w:hAnsi="Arial" w:cs="Arial"/>
          <w:iCs/>
        </w:rPr>
        <w:t xml:space="preserve">Theoretical and Applied Genetics, </w:t>
      </w:r>
      <w:r w:rsidR="008217DA" w:rsidRPr="007C551A">
        <w:rPr>
          <w:rFonts w:ascii="Arial" w:hAnsi="Arial" w:cs="Arial"/>
          <w:iCs/>
        </w:rPr>
        <w:t>110 :</w:t>
      </w:r>
      <w:r w:rsidRPr="007C551A">
        <w:rPr>
          <w:rFonts w:ascii="Arial" w:hAnsi="Arial" w:cs="Arial"/>
          <w:iCs/>
        </w:rPr>
        <w:t xml:space="preserve"> 1401-1409.</w:t>
      </w:r>
    </w:p>
    <w:p w14:paraId="32AE4455" w14:textId="77777777" w:rsidR="007C551A" w:rsidRPr="007C551A" w:rsidRDefault="007C551A" w:rsidP="007C551A">
      <w:pPr>
        <w:jc w:val="both"/>
        <w:rPr>
          <w:rFonts w:ascii="Arial" w:hAnsi="Arial" w:cs="Arial"/>
          <w:iCs/>
        </w:rPr>
      </w:pPr>
      <w:r w:rsidRPr="007C551A">
        <w:rPr>
          <w:rFonts w:ascii="Arial" w:hAnsi="Arial" w:cs="Arial"/>
          <w:iCs/>
        </w:rPr>
        <w:t>du Cheyron P., Maumené C., de Vallavieille-Pope C., Leconte M., 2012. Rouille jaune : Une nouvelle race fait trembler les résistances variétales. Perspectives Agricoles 387 - Mars 2012, 56-59.</w:t>
      </w:r>
    </w:p>
    <w:p w14:paraId="628044CC" w14:textId="77777777" w:rsidR="007C551A" w:rsidRPr="007C551A" w:rsidRDefault="007C551A" w:rsidP="007C551A">
      <w:pPr>
        <w:jc w:val="both"/>
        <w:rPr>
          <w:rFonts w:ascii="Arial" w:hAnsi="Arial" w:cs="Arial"/>
          <w:iCs/>
        </w:rPr>
      </w:pPr>
      <w:r w:rsidRPr="007C551A">
        <w:rPr>
          <w:rFonts w:ascii="Arial" w:hAnsi="Arial" w:cs="Arial"/>
          <w:iCs/>
        </w:rPr>
        <w:t xml:space="preserve">de Vallavieille-Pope C, Leconte M, du Cheyron P, Maumené C </w:t>
      </w:r>
      <w:r>
        <w:rPr>
          <w:rFonts w:ascii="Arial" w:hAnsi="Arial" w:cs="Arial"/>
          <w:iCs/>
        </w:rPr>
        <w:t>(</w:t>
      </w:r>
      <w:r w:rsidRPr="007C551A">
        <w:rPr>
          <w:rFonts w:ascii="Arial" w:hAnsi="Arial" w:cs="Arial"/>
          <w:iCs/>
        </w:rPr>
        <w:t>2012</w:t>
      </w:r>
      <w:r>
        <w:rPr>
          <w:rFonts w:ascii="Arial" w:hAnsi="Arial" w:cs="Arial"/>
          <w:iCs/>
        </w:rPr>
        <w:t>)</w:t>
      </w:r>
      <w:r w:rsidRPr="007C551A">
        <w:rPr>
          <w:rFonts w:ascii="Arial" w:hAnsi="Arial" w:cs="Arial"/>
          <w:iCs/>
        </w:rPr>
        <w:t xml:space="preserve">  Rouille jaune : une nouvelle race envahit l’Europe. Perspectives Agricoles 394 -Novembre 2012, 54.</w:t>
      </w:r>
    </w:p>
    <w:p w14:paraId="6DDC30BB" w14:textId="77777777" w:rsidR="00E9352B" w:rsidRPr="007C551A" w:rsidRDefault="007C551A" w:rsidP="007C551A">
      <w:pPr>
        <w:jc w:val="both"/>
        <w:rPr>
          <w:rFonts w:ascii="Arial" w:hAnsi="Arial" w:cs="Arial"/>
          <w:iCs/>
        </w:rPr>
      </w:pPr>
      <w:r w:rsidRPr="007C551A">
        <w:rPr>
          <w:rFonts w:ascii="Arial" w:hAnsi="Arial" w:cs="Arial"/>
          <w:iCs/>
        </w:rPr>
        <w:t xml:space="preserve">du Cheyron P, Maufras JY, Audigeos D, de Vallavieille-Pope C, Leconte M </w:t>
      </w:r>
      <w:r>
        <w:rPr>
          <w:rFonts w:ascii="Arial" w:hAnsi="Arial" w:cs="Arial"/>
          <w:iCs/>
        </w:rPr>
        <w:t>(</w:t>
      </w:r>
      <w:r w:rsidRPr="007C551A">
        <w:rPr>
          <w:rFonts w:ascii="Arial" w:hAnsi="Arial" w:cs="Arial"/>
          <w:iCs/>
        </w:rPr>
        <w:t>2014</w:t>
      </w:r>
      <w:r>
        <w:rPr>
          <w:rFonts w:ascii="Arial" w:hAnsi="Arial" w:cs="Arial"/>
          <w:iCs/>
        </w:rPr>
        <w:t>)</w:t>
      </w:r>
      <w:r w:rsidRPr="007C551A">
        <w:rPr>
          <w:rFonts w:ascii="Arial" w:hAnsi="Arial" w:cs="Arial"/>
          <w:iCs/>
        </w:rPr>
        <w:t xml:space="preserve">  Rouille jaune : une race s’attaque aux céréales. Perspectives Agricoles 410 -Avril 2014, 16-18.</w:t>
      </w:r>
    </w:p>
    <w:p w14:paraId="334661FB" w14:textId="77777777" w:rsidR="00E9352B" w:rsidRPr="007C551A" w:rsidRDefault="00E9352B" w:rsidP="00E9352B">
      <w:pPr>
        <w:rPr>
          <w:rFonts w:ascii="Arial" w:hAnsi="Arial" w:cs="Arial"/>
          <w:iCs/>
        </w:rPr>
      </w:pPr>
    </w:p>
    <w:p w14:paraId="2E29B154" w14:textId="77777777" w:rsidR="00E9352B" w:rsidRPr="00E9352B" w:rsidRDefault="00E9352B" w:rsidP="00E9352B">
      <w:pPr>
        <w:rPr>
          <w:rFonts w:ascii="Arial" w:hAnsi="Arial" w:cs="Arial"/>
        </w:rPr>
      </w:pPr>
    </w:p>
    <w:p w14:paraId="1084A083" w14:textId="7680B556" w:rsidR="00A34A84" w:rsidRDefault="00A34A84" w:rsidP="00A34A84">
      <w:pPr>
        <w:pBdr>
          <w:top w:val="single" w:sz="4" w:space="1" w:color="auto"/>
        </w:pBdr>
        <w:rPr>
          <w:rFonts w:ascii="Arial" w:hAnsi="Arial" w:cs="Arial"/>
        </w:rPr>
      </w:pPr>
    </w:p>
    <w:p w14:paraId="42B997B5" w14:textId="64FDD125" w:rsidR="00E30B30" w:rsidRDefault="00E30B30" w:rsidP="00A34A84">
      <w:pPr>
        <w:pBdr>
          <w:top w:val="single" w:sz="4" w:space="1" w:color="auto"/>
        </w:pBdr>
        <w:rPr>
          <w:rFonts w:ascii="Arial" w:hAnsi="Arial" w:cs="Arial"/>
        </w:rPr>
      </w:pPr>
    </w:p>
    <w:p w14:paraId="784D62D6" w14:textId="4BD5A93F" w:rsidR="00E30B30" w:rsidRDefault="00E30B30" w:rsidP="00A34A84">
      <w:pPr>
        <w:pBdr>
          <w:top w:val="single" w:sz="4" w:space="1" w:color="auto"/>
        </w:pBdr>
        <w:rPr>
          <w:rFonts w:ascii="Arial" w:hAnsi="Arial" w:cs="Arial"/>
        </w:rPr>
      </w:pPr>
    </w:p>
    <w:p w14:paraId="5ECAB951" w14:textId="223433B1" w:rsidR="00E30B30" w:rsidRDefault="00E30B30" w:rsidP="00A34A84">
      <w:pPr>
        <w:pBdr>
          <w:top w:val="single" w:sz="4" w:space="1" w:color="auto"/>
        </w:pBdr>
        <w:rPr>
          <w:rFonts w:ascii="Arial" w:hAnsi="Arial" w:cs="Arial"/>
        </w:rPr>
      </w:pPr>
    </w:p>
    <w:p w14:paraId="47AFC9EB" w14:textId="3DE21430" w:rsidR="00E30B30" w:rsidRDefault="00E30B30" w:rsidP="00A34A84">
      <w:pPr>
        <w:pBdr>
          <w:top w:val="single" w:sz="4" w:space="1" w:color="auto"/>
        </w:pBdr>
        <w:rPr>
          <w:rFonts w:ascii="Arial" w:hAnsi="Arial" w:cs="Arial"/>
        </w:rPr>
      </w:pPr>
    </w:p>
    <w:p w14:paraId="252D4AC8" w14:textId="559AB039" w:rsidR="00E30B30" w:rsidRDefault="00E30B30" w:rsidP="00A34A84">
      <w:pPr>
        <w:pBdr>
          <w:top w:val="single" w:sz="4" w:space="1" w:color="auto"/>
        </w:pBdr>
        <w:rPr>
          <w:rFonts w:ascii="Arial" w:hAnsi="Arial" w:cs="Arial"/>
        </w:rPr>
      </w:pPr>
    </w:p>
    <w:p w14:paraId="2A67652F" w14:textId="5BA173D2" w:rsidR="00E30B30" w:rsidRDefault="00E30B30" w:rsidP="00A34A84">
      <w:pPr>
        <w:pBdr>
          <w:top w:val="single" w:sz="4" w:space="1" w:color="auto"/>
        </w:pBdr>
        <w:rPr>
          <w:rFonts w:ascii="Arial" w:hAnsi="Arial" w:cs="Arial"/>
        </w:rPr>
      </w:pPr>
    </w:p>
    <w:p w14:paraId="5BE51E86" w14:textId="7FD0CF58" w:rsidR="00E30B30" w:rsidRDefault="00E30B30" w:rsidP="00A34A84">
      <w:pPr>
        <w:pBdr>
          <w:top w:val="single" w:sz="4" w:space="1" w:color="auto"/>
        </w:pBdr>
        <w:rPr>
          <w:rFonts w:ascii="Arial" w:hAnsi="Arial" w:cs="Arial"/>
        </w:rPr>
      </w:pPr>
    </w:p>
    <w:p w14:paraId="08AF6CEA" w14:textId="4CF20FEB" w:rsidR="00E30B30" w:rsidRDefault="00E30B30" w:rsidP="00A34A84">
      <w:pPr>
        <w:pBdr>
          <w:top w:val="single" w:sz="4" w:space="1" w:color="auto"/>
        </w:pBdr>
        <w:rPr>
          <w:rFonts w:ascii="Arial" w:hAnsi="Arial" w:cs="Arial"/>
        </w:rPr>
      </w:pPr>
    </w:p>
    <w:p w14:paraId="7D598C13" w14:textId="6F5FAFB5" w:rsidR="00E30B30" w:rsidRDefault="00E30B30" w:rsidP="00A34A84">
      <w:pPr>
        <w:pBdr>
          <w:top w:val="single" w:sz="4" w:space="1" w:color="auto"/>
        </w:pBdr>
        <w:rPr>
          <w:rFonts w:ascii="Arial" w:hAnsi="Arial" w:cs="Arial"/>
        </w:rPr>
      </w:pPr>
    </w:p>
    <w:p w14:paraId="44E4A7DE" w14:textId="54F7A7E9" w:rsidR="00E30B30" w:rsidRDefault="00E30B30" w:rsidP="00A34A84">
      <w:pPr>
        <w:pBdr>
          <w:top w:val="single" w:sz="4" w:space="1" w:color="auto"/>
        </w:pBdr>
        <w:rPr>
          <w:rFonts w:ascii="Arial" w:hAnsi="Arial" w:cs="Arial"/>
        </w:rPr>
      </w:pPr>
    </w:p>
    <w:p w14:paraId="3BF18164" w14:textId="3AFDBACF" w:rsidR="00547B7D" w:rsidRDefault="00547B7D" w:rsidP="00A34A84">
      <w:pPr>
        <w:pBdr>
          <w:top w:val="single" w:sz="4" w:space="1" w:color="auto"/>
        </w:pBdr>
        <w:rPr>
          <w:rFonts w:ascii="Arial" w:hAnsi="Arial" w:cs="Arial"/>
        </w:rPr>
      </w:pPr>
    </w:p>
    <w:p w14:paraId="32F47D1A" w14:textId="6870297B" w:rsidR="00547B7D" w:rsidRDefault="00547B7D" w:rsidP="00A34A84">
      <w:pPr>
        <w:pBdr>
          <w:top w:val="single" w:sz="4" w:space="1" w:color="auto"/>
        </w:pBdr>
        <w:rPr>
          <w:rFonts w:ascii="Arial" w:hAnsi="Arial" w:cs="Arial"/>
        </w:rPr>
      </w:pPr>
    </w:p>
    <w:p w14:paraId="31F44820" w14:textId="77777777" w:rsidR="00547B7D" w:rsidRDefault="00547B7D" w:rsidP="00A34A84">
      <w:pPr>
        <w:pBdr>
          <w:top w:val="single" w:sz="4" w:space="1" w:color="auto"/>
        </w:pBdr>
        <w:rPr>
          <w:rFonts w:ascii="Arial" w:hAnsi="Arial" w:cs="Arial"/>
        </w:rPr>
      </w:pPr>
    </w:p>
    <w:p w14:paraId="48CBFCB8" w14:textId="77777777" w:rsidR="001D4CC0" w:rsidRDefault="001D4CC0" w:rsidP="00E30B30">
      <w:pPr>
        <w:jc w:val="center"/>
        <w:rPr>
          <w:rFonts w:ascii="Cambria" w:hAnsi="Cambria" w:cs="Arial"/>
          <w:b/>
          <w:color w:val="002060"/>
          <w:sz w:val="28"/>
          <w:szCs w:val="28"/>
        </w:rPr>
      </w:pPr>
    </w:p>
    <w:p w14:paraId="1F928E75" w14:textId="22F915F4" w:rsidR="00E30B30" w:rsidRPr="001D4CC0" w:rsidRDefault="00E30B30" w:rsidP="00E30B30">
      <w:pPr>
        <w:jc w:val="center"/>
        <w:rPr>
          <w:rFonts w:ascii="Cambria" w:hAnsi="Cambria" w:cs="Arial"/>
          <w:b/>
          <w:color w:val="002060"/>
          <w:sz w:val="28"/>
          <w:szCs w:val="28"/>
        </w:rPr>
      </w:pPr>
      <w:r w:rsidRPr="001D4CC0">
        <w:rPr>
          <w:rFonts w:ascii="Cambria" w:hAnsi="Cambria" w:cs="Arial"/>
          <w:b/>
          <w:color w:val="002060"/>
          <w:sz w:val="28"/>
          <w:szCs w:val="28"/>
        </w:rPr>
        <w:t>FSOV2020D TritiRJ : Identification et exploitation de sources de résistance à la rouille jaune chez le triticale</w:t>
      </w:r>
    </w:p>
    <w:p w14:paraId="546FDD11" w14:textId="77777777" w:rsidR="00E30B30" w:rsidRPr="0046376F" w:rsidRDefault="00E30B30" w:rsidP="00E30B30">
      <w:pPr>
        <w:jc w:val="center"/>
        <w:rPr>
          <w:rFonts w:ascii="Cambria" w:hAnsi="Cambria" w:cs="Arial"/>
          <w:b/>
        </w:rPr>
      </w:pPr>
    </w:p>
    <w:p w14:paraId="6280C8B7" w14:textId="77777777" w:rsidR="00E30B30" w:rsidRPr="0046376F" w:rsidRDefault="00E30B30" w:rsidP="00E30B30">
      <w:pPr>
        <w:jc w:val="center"/>
        <w:rPr>
          <w:rFonts w:ascii="Cambria" w:hAnsi="Cambria" w:cs="Arial"/>
          <w:b/>
          <w:u w:val="single"/>
        </w:rPr>
      </w:pPr>
      <w:r w:rsidRPr="0046376F">
        <w:rPr>
          <w:rFonts w:ascii="Cambria" w:hAnsi="Cambria" w:cs="Arial"/>
          <w:b/>
          <w:u w:val="single"/>
        </w:rPr>
        <w:t>Rapport d’activité année 1 : 14 sept2020 – 14 sept2021</w:t>
      </w:r>
    </w:p>
    <w:p w14:paraId="01A0F1C5" w14:textId="77777777" w:rsidR="00E30B30" w:rsidRDefault="00E30B30" w:rsidP="00E30B30">
      <w:pPr>
        <w:jc w:val="center"/>
        <w:rPr>
          <w:rFonts w:ascii="Arial" w:hAnsi="Arial" w:cs="Arial"/>
          <w:b/>
          <w:sz w:val="28"/>
          <w:szCs w:val="28"/>
        </w:rPr>
      </w:pPr>
    </w:p>
    <w:p w14:paraId="1667CB84" w14:textId="77777777" w:rsidR="00E30B30" w:rsidRDefault="00E30B30" w:rsidP="00E30B30">
      <w:pPr>
        <w:rPr>
          <w:rFonts w:ascii="Cambria" w:hAnsi="Cambria" w:cs="Arial"/>
          <w:b/>
        </w:rPr>
      </w:pPr>
    </w:p>
    <w:p w14:paraId="26F73C3B" w14:textId="77777777" w:rsidR="00E30B30" w:rsidRPr="0046376F" w:rsidRDefault="00E30B30" w:rsidP="00E30B30">
      <w:pPr>
        <w:pStyle w:val="Default"/>
        <w:rPr>
          <w:rFonts w:ascii="Cambria" w:hAnsi="Cambria"/>
          <w:b/>
          <w:bCs/>
          <w:sz w:val="22"/>
          <w:szCs w:val="22"/>
          <w:u w:val="single"/>
        </w:rPr>
      </w:pPr>
      <w:r w:rsidRPr="0046376F">
        <w:rPr>
          <w:rFonts w:ascii="Cambria" w:hAnsi="Cambria"/>
          <w:b/>
          <w:bCs/>
          <w:sz w:val="22"/>
          <w:szCs w:val="22"/>
          <w:u w:val="single"/>
        </w:rPr>
        <w:t>Description administrative du projet</w:t>
      </w:r>
    </w:p>
    <w:p w14:paraId="75CE6807"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Démarrage du projet le 14 septembre 2020</w:t>
      </w:r>
    </w:p>
    <w:p w14:paraId="0A79CCC5"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Budget: 235 440 €</w:t>
      </w:r>
      <w:r>
        <w:rPr>
          <w:rFonts w:ascii="Cambria" w:hAnsi="Cambria"/>
          <w:sz w:val="22"/>
          <w:szCs w:val="22"/>
        </w:rPr>
        <w:t xml:space="preserve"> - </w:t>
      </w:r>
      <w:r w:rsidRPr="0046376F">
        <w:rPr>
          <w:rFonts w:ascii="Cambria" w:hAnsi="Cambria"/>
          <w:sz w:val="22"/>
          <w:szCs w:val="22"/>
        </w:rPr>
        <w:t>Subvention: 162 408 €</w:t>
      </w:r>
    </w:p>
    <w:p w14:paraId="7DB152F1"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Coordinateur: GIE Triticale</w:t>
      </w:r>
      <w:r>
        <w:rPr>
          <w:rFonts w:ascii="Cambria" w:hAnsi="Cambria"/>
          <w:sz w:val="22"/>
          <w:szCs w:val="22"/>
        </w:rPr>
        <w:t xml:space="preserve"> - </w:t>
      </w:r>
      <w:r w:rsidRPr="0046376F">
        <w:rPr>
          <w:rFonts w:ascii="Cambria" w:hAnsi="Cambria"/>
          <w:sz w:val="22"/>
          <w:szCs w:val="22"/>
        </w:rPr>
        <w:t>gestion administrative : Marc Lecrivain (SICASOV)</w:t>
      </w:r>
    </w:p>
    <w:p w14:paraId="16C7DC4B" w14:textId="77777777" w:rsidR="00E30B30" w:rsidRPr="0046376F" w:rsidRDefault="00E30B30" w:rsidP="00E30B30">
      <w:pPr>
        <w:pStyle w:val="Default"/>
        <w:rPr>
          <w:rFonts w:ascii="Cambria" w:hAnsi="Cambria"/>
          <w:sz w:val="22"/>
          <w:szCs w:val="22"/>
        </w:rPr>
      </w:pPr>
      <w:r w:rsidRPr="001974A2">
        <w:rPr>
          <w:rFonts w:ascii="Cambria" w:hAnsi="Cambria"/>
          <w:sz w:val="22"/>
          <w:szCs w:val="22"/>
          <w:u w:val="single"/>
        </w:rPr>
        <w:t>Comité de pilotage</w:t>
      </w:r>
      <w:r w:rsidRPr="0046376F">
        <w:rPr>
          <w:rFonts w:ascii="Cambria" w:hAnsi="Cambria"/>
          <w:sz w:val="22"/>
          <w:szCs w:val="22"/>
        </w:rPr>
        <w:t xml:space="preserve">: </w:t>
      </w:r>
    </w:p>
    <w:p w14:paraId="0C5ADCBA" w14:textId="77777777" w:rsidR="00E30B30" w:rsidRPr="0046376F" w:rsidRDefault="00E30B30" w:rsidP="00E30B30">
      <w:pPr>
        <w:pStyle w:val="Default"/>
        <w:jc w:val="both"/>
        <w:rPr>
          <w:rFonts w:ascii="Cambria" w:hAnsi="Cambria"/>
          <w:sz w:val="22"/>
          <w:szCs w:val="22"/>
        </w:rPr>
      </w:pPr>
      <w:r w:rsidRPr="0046376F">
        <w:rPr>
          <w:rFonts w:ascii="Cambria" w:hAnsi="Cambria"/>
          <w:sz w:val="22"/>
          <w:szCs w:val="22"/>
        </w:rPr>
        <w:t>Christophe Jeudi (FD)-référent phénotypage et Valérie Laurent (FD) -référent génotypage</w:t>
      </w:r>
    </w:p>
    <w:p w14:paraId="14D276E2"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Anthony Roullier (RAGT)</w:t>
      </w:r>
    </w:p>
    <w:p w14:paraId="69276F20"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Frédéric Fantin (AgriObtention)</w:t>
      </w:r>
    </w:p>
    <w:p w14:paraId="28DF1337"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Eric Delaleau (Lemaire Deffontaines)</w:t>
      </w:r>
    </w:p>
    <w:p w14:paraId="10F0F0BC"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Quentin Croullebois (Secobra)</w:t>
      </w:r>
    </w:p>
    <w:p w14:paraId="06502847"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Karim Ammar (CIMMYT)</w:t>
      </w:r>
    </w:p>
    <w:p w14:paraId="4C25E650" w14:textId="77777777" w:rsidR="00E30B30" w:rsidRPr="0046376F" w:rsidRDefault="00E30B30" w:rsidP="00E30B30">
      <w:pPr>
        <w:pStyle w:val="Default"/>
        <w:rPr>
          <w:rFonts w:ascii="Cambria" w:hAnsi="Cambria"/>
          <w:sz w:val="22"/>
          <w:szCs w:val="22"/>
        </w:rPr>
      </w:pPr>
      <w:r w:rsidRPr="0046376F">
        <w:rPr>
          <w:rFonts w:ascii="Cambria" w:hAnsi="Cambria"/>
          <w:sz w:val="22"/>
          <w:szCs w:val="22"/>
        </w:rPr>
        <w:t>Pierre Sourdille (INRAE)</w:t>
      </w:r>
    </w:p>
    <w:p w14:paraId="65015F94" w14:textId="77777777" w:rsidR="00E30B30" w:rsidRDefault="00E30B30" w:rsidP="00E30B30">
      <w:pPr>
        <w:rPr>
          <w:rFonts w:ascii="Cambria" w:hAnsi="Cambria"/>
          <w:sz w:val="22"/>
          <w:szCs w:val="22"/>
        </w:rPr>
      </w:pPr>
      <w:r w:rsidRPr="0046376F">
        <w:rPr>
          <w:rFonts w:ascii="Cambria" w:hAnsi="Cambria"/>
          <w:sz w:val="22"/>
          <w:szCs w:val="22"/>
        </w:rPr>
        <w:t>Faharidine Mohamadi (Arvalis)</w:t>
      </w:r>
    </w:p>
    <w:p w14:paraId="00BCACC7" w14:textId="77777777" w:rsidR="00E30B30" w:rsidRDefault="00E30B30" w:rsidP="00E30B30">
      <w:pPr>
        <w:rPr>
          <w:rFonts w:ascii="Cambria" w:hAnsi="Cambria"/>
          <w:sz w:val="22"/>
          <w:szCs w:val="22"/>
        </w:rPr>
      </w:pPr>
      <w:r>
        <w:rPr>
          <w:rFonts w:ascii="Cambria" w:hAnsi="Cambria"/>
          <w:sz w:val="22"/>
          <w:szCs w:val="22"/>
        </w:rPr>
        <w:t>Convention de recherche GIE/FSOV signée le 2 sept 2021</w:t>
      </w:r>
    </w:p>
    <w:p w14:paraId="613CF302" w14:textId="77777777" w:rsidR="00E30B30" w:rsidRDefault="00E30B30" w:rsidP="00E30B30">
      <w:pPr>
        <w:rPr>
          <w:rFonts w:ascii="Cambria" w:hAnsi="Cambria"/>
          <w:sz w:val="22"/>
          <w:szCs w:val="22"/>
        </w:rPr>
      </w:pPr>
    </w:p>
    <w:p w14:paraId="7A436DB7" w14:textId="77777777" w:rsidR="00E30B30" w:rsidRPr="0046376F" w:rsidRDefault="00E30B30" w:rsidP="00E30B30">
      <w:pPr>
        <w:rPr>
          <w:rFonts w:ascii="Cambria" w:hAnsi="Cambria"/>
          <w:sz w:val="22"/>
          <w:szCs w:val="22"/>
        </w:rPr>
      </w:pPr>
    </w:p>
    <w:p w14:paraId="07D4F08F" w14:textId="6B54E6DF" w:rsidR="00E30B30" w:rsidRPr="00F40AC7" w:rsidRDefault="00E30B30" w:rsidP="00E30B30">
      <w:pPr>
        <w:rPr>
          <w:rFonts w:ascii="Cambria" w:hAnsi="Cambria" w:cs="Arial"/>
          <w:b/>
        </w:rPr>
      </w:pPr>
      <w:r>
        <w:rPr>
          <w:noProof/>
        </w:rPr>
        <w:drawing>
          <wp:inline distT="0" distB="0" distL="0" distR="0" wp14:anchorId="75801EC3" wp14:editId="38929B19">
            <wp:extent cx="6496050" cy="2019935"/>
            <wp:effectExtent l="0" t="0" r="0" b="0"/>
            <wp:docPr id="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0" cy="2019935"/>
                    </a:xfrm>
                    <a:prstGeom prst="rect">
                      <a:avLst/>
                    </a:prstGeom>
                    <a:noFill/>
                    <a:ln>
                      <a:noFill/>
                    </a:ln>
                  </pic:spPr>
                </pic:pic>
              </a:graphicData>
            </a:graphic>
          </wp:inline>
        </w:drawing>
      </w:r>
    </w:p>
    <w:p w14:paraId="0F1D40CB" w14:textId="77777777" w:rsidR="00E30B30" w:rsidRPr="00730191" w:rsidRDefault="00E30B30" w:rsidP="00E30B30">
      <w:pPr>
        <w:pStyle w:val="Titre1"/>
        <w:numPr>
          <w:ilvl w:val="0"/>
          <w:numId w:val="0"/>
        </w:numPr>
        <w:ind w:left="142"/>
        <w:rPr>
          <w:rFonts w:ascii="Cambria" w:hAnsi="Cambria"/>
          <w:sz w:val="22"/>
          <w:szCs w:val="22"/>
          <w:u w:val="single"/>
        </w:rPr>
      </w:pPr>
      <w:r w:rsidRPr="00730191">
        <w:rPr>
          <w:rFonts w:ascii="Cambria" w:hAnsi="Cambria"/>
          <w:sz w:val="22"/>
          <w:szCs w:val="22"/>
          <w:u w:val="single"/>
        </w:rPr>
        <w:t>A. Cartographie fine du QTL6R</w:t>
      </w:r>
    </w:p>
    <w:p w14:paraId="704B70FA" w14:textId="77777777" w:rsidR="00E30B30" w:rsidRPr="00730191" w:rsidRDefault="00E30B30" w:rsidP="00E30B30">
      <w:pPr>
        <w:pStyle w:val="Titre2"/>
        <w:numPr>
          <w:ilvl w:val="0"/>
          <w:numId w:val="0"/>
        </w:numPr>
        <w:spacing w:before="0"/>
        <w:ind w:left="426"/>
        <w:rPr>
          <w:rFonts w:ascii="Cambria" w:hAnsi="Cambria"/>
          <w:sz w:val="22"/>
          <w:szCs w:val="22"/>
        </w:rPr>
      </w:pPr>
      <w:r w:rsidRPr="00730191">
        <w:rPr>
          <w:rFonts w:ascii="Cambria" w:hAnsi="Cambria"/>
          <w:sz w:val="22"/>
          <w:szCs w:val="22"/>
        </w:rPr>
        <w:t xml:space="preserve">A.1 Développement de nouveaux marqueurs du QTL6R </w:t>
      </w:r>
      <w:r w:rsidRPr="00730191">
        <w:rPr>
          <w:rFonts w:ascii="Cambria" w:hAnsi="Cambria" w:cs="Calibri"/>
          <w:b w:val="0"/>
          <w:bCs/>
          <w:i w:val="0"/>
          <w:iCs/>
          <w:color w:val="000000"/>
          <w:sz w:val="22"/>
          <w:szCs w:val="22"/>
        </w:rPr>
        <w:t>(GDEC)</w:t>
      </w:r>
    </w:p>
    <w:p w14:paraId="193A20BB" w14:textId="77777777" w:rsidR="00E30B30" w:rsidRPr="000E5E19" w:rsidRDefault="00E30B30" w:rsidP="000E5E19">
      <w:pPr>
        <w:pStyle w:val="Paragraphedeliste"/>
        <w:spacing w:line="240" w:lineRule="auto"/>
        <w:ind w:left="0"/>
        <w:jc w:val="both"/>
        <w:rPr>
          <w:rFonts w:ascii="Cambria" w:hAnsi="Cambria" w:cs="Arial"/>
        </w:rPr>
      </w:pPr>
      <w:r w:rsidRPr="000E5E19">
        <w:rPr>
          <w:rFonts w:ascii="Cambria" w:hAnsi="Cambria" w:cs="Arial"/>
        </w:rPr>
        <w:t>La localisation du QTL6R de triticale sur la carte dense</w:t>
      </w:r>
      <w:r w:rsidRPr="000E5E19">
        <w:rPr>
          <w:rFonts w:ascii="Cambria" w:hAnsi="Cambria" w:cs="Arial"/>
          <w:color w:val="000000"/>
          <w:lang w:eastAsia="fr-FR"/>
        </w:rPr>
        <w:t xml:space="preserve"> Lo7xLo225</w:t>
      </w:r>
      <w:r w:rsidRPr="000E5E19">
        <w:rPr>
          <w:rFonts w:ascii="Cambria" w:hAnsi="Cambria" w:cs="Arial"/>
        </w:rPr>
        <w:t xml:space="preserve"> du chromosome 6R de seigle (Bauer </w:t>
      </w:r>
      <w:r w:rsidRPr="000E5E19">
        <w:rPr>
          <w:rFonts w:ascii="Cambria" w:hAnsi="Cambria" w:cs="Arial"/>
          <w:i/>
          <w:iCs/>
        </w:rPr>
        <w:t>et al.</w:t>
      </w:r>
      <w:r w:rsidRPr="000E5E19">
        <w:rPr>
          <w:rFonts w:ascii="Cambria" w:hAnsi="Cambria" w:cs="Arial"/>
        </w:rPr>
        <w:t xml:space="preserve">, 2017) a permis l’identification des marqueurs AXIOM de seigle correspondant à l’intervalle du QTL6R parmi </w:t>
      </w:r>
      <w:r w:rsidRPr="000E5E19">
        <w:rPr>
          <w:rFonts w:ascii="Cambria" w:hAnsi="Cambria" w:cs="Arial"/>
          <w:color w:val="000000"/>
          <w:lang w:eastAsia="fr-FR"/>
        </w:rPr>
        <w:t xml:space="preserve">les </w:t>
      </w:r>
      <w:r w:rsidRPr="000E5E19">
        <w:rPr>
          <w:rFonts w:ascii="Cambria" w:hAnsi="Cambria" w:cs="Arial"/>
        </w:rPr>
        <w:t>16 000 marqueurs AXIOM du chromosome 6R.</w:t>
      </w:r>
    </w:p>
    <w:p w14:paraId="66066DCA" w14:textId="77777777" w:rsidR="00E30B30" w:rsidRPr="000E5E19" w:rsidRDefault="00E30B30" w:rsidP="000E5E19">
      <w:pPr>
        <w:jc w:val="both"/>
        <w:rPr>
          <w:rFonts w:ascii="Cambria" w:hAnsi="Cambria"/>
          <w:sz w:val="22"/>
          <w:szCs w:val="22"/>
        </w:rPr>
      </w:pPr>
      <w:r w:rsidRPr="000E5E19">
        <w:rPr>
          <w:rFonts w:ascii="Cambria" w:hAnsi="Cambria"/>
          <w:sz w:val="22"/>
          <w:szCs w:val="22"/>
        </w:rPr>
        <w:t>Les SNP identifiés ont été séparés en 2 groupes : ceux dont la séquence contexte est conservée (&gt;80% identité) chez le blé et ceux dont la séquence, non-conservée, est spécifique du chromosome 6R.</w:t>
      </w:r>
    </w:p>
    <w:p w14:paraId="1FAEBFA4" w14:textId="77777777" w:rsidR="00E30B30" w:rsidRPr="000E5E19" w:rsidRDefault="00E30B30" w:rsidP="000E5E19">
      <w:pPr>
        <w:jc w:val="both"/>
        <w:rPr>
          <w:rFonts w:ascii="Cambria" w:hAnsi="Cambria"/>
          <w:sz w:val="22"/>
          <w:szCs w:val="22"/>
        </w:rPr>
      </w:pPr>
      <w:r w:rsidRPr="000E5E19">
        <w:rPr>
          <w:rFonts w:ascii="Cambria" w:hAnsi="Cambria"/>
          <w:sz w:val="22"/>
          <w:szCs w:val="22"/>
        </w:rPr>
        <w:t>En ordonnant les SNP du chromosome 6R de seigle sur la référence blé, 3 blocs chromosomiques différents correspondant aux chromosomes 6, 3 et 7 du génome D ont clairement été identifiés.</w:t>
      </w:r>
    </w:p>
    <w:p w14:paraId="0DFAC794" w14:textId="77777777" w:rsidR="00E30B30" w:rsidRPr="000E5E19" w:rsidRDefault="00E30B30" w:rsidP="000E5E19">
      <w:pPr>
        <w:jc w:val="both"/>
        <w:rPr>
          <w:rFonts w:ascii="Cambria" w:hAnsi="Cambria"/>
          <w:sz w:val="22"/>
          <w:szCs w:val="22"/>
        </w:rPr>
      </w:pPr>
      <w:r w:rsidRPr="000E5E19">
        <w:rPr>
          <w:rFonts w:ascii="Cambria" w:hAnsi="Cambria"/>
          <w:sz w:val="22"/>
          <w:szCs w:val="22"/>
        </w:rPr>
        <w:t>Les bornes sont les suivantes :</w:t>
      </w:r>
    </w:p>
    <w:p w14:paraId="68C739CD" w14:textId="77777777" w:rsidR="00E30B30" w:rsidRPr="000E5E19" w:rsidRDefault="00E30B30" w:rsidP="000E5E19">
      <w:pPr>
        <w:jc w:val="both"/>
        <w:rPr>
          <w:rFonts w:ascii="Cambria" w:hAnsi="Cambria"/>
          <w:color w:val="009999"/>
          <w:sz w:val="22"/>
          <w:szCs w:val="22"/>
        </w:rPr>
      </w:pPr>
      <w:r w:rsidRPr="000E5E19">
        <w:rPr>
          <w:rFonts w:ascii="Cambria" w:hAnsi="Cambria"/>
          <w:color w:val="009999"/>
          <w:sz w:val="22"/>
          <w:szCs w:val="22"/>
        </w:rPr>
        <w:t>AX-99599239 =&gt; 31.74cM / chr6D : 68 Mb</w:t>
      </w:r>
    </w:p>
    <w:p w14:paraId="3E0160CA" w14:textId="77777777" w:rsidR="00E30B30" w:rsidRPr="000E5E19" w:rsidRDefault="00E30B30" w:rsidP="000E5E19">
      <w:pPr>
        <w:jc w:val="both"/>
        <w:rPr>
          <w:rFonts w:ascii="Cambria" w:hAnsi="Cambria"/>
          <w:color w:val="009999"/>
          <w:sz w:val="22"/>
          <w:szCs w:val="22"/>
        </w:rPr>
      </w:pPr>
      <w:r w:rsidRPr="000E5E19">
        <w:rPr>
          <w:rFonts w:ascii="Cambria" w:hAnsi="Cambria"/>
          <w:color w:val="009999"/>
          <w:sz w:val="22"/>
          <w:szCs w:val="22"/>
        </w:rPr>
        <w:t>AX-99483881 =&gt;109.50cM / chr6D : 489 Mb </w:t>
      </w:r>
    </w:p>
    <w:p w14:paraId="55EAEDC3" w14:textId="77777777" w:rsidR="00E30B30" w:rsidRPr="000E5E19" w:rsidRDefault="00E30B30" w:rsidP="000E5E19">
      <w:pPr>
        <w:jc w:val="both"/>
        <w:rPr>
          <w:rFonts w:ascii="Cambria" w:hAnsi="Cambria"/>
          <w:color w:val="BF8F00"/>
          <w:sz w:val="22"/>
          <w:szCs w:val="22"/>
        </w:rPr>
      </w:pPr>
      <w:r w:rsidRPr="000E5E19">
        <w:rPr>
          <w:rFonts w:ascii="Cambria" w:hAnsi="Cambria"/>
          <w:color w:val="BF8F00"/>
          <w:sz w:val="22"/>
          <w:szCs w:val="22"/>
        </w:rPr>
        <w:t>AX-99385997 =&gt;109.50cM / chr3D : 566 Mb</w:t>
      </w:r>
    </w:p>
    <w:p w14:paraId="30B03D83" w14:textId="77777777" w:rsidR="00E30B30" w:rsidRPr="00E30B30" w:rsidRDefault="00E30B30" w:rsidP="00E30B30">
      <w:pPr>
        <w:rPr>
          <w:rFonts w:ascii="Cambria" w:hAnsi="Cambria"/>
          <w:color w:val="BF8F00"/>
          <w:sz w:val="20"/>
          <w:szCs w:val="20"/>
        </w:rPr>
      </w:pPr>
      <w:r w:rsidRPr="00E30B30">
        <w:rPr>
          <w:rFonts w:ascii="Cambria" w:hAnsi="Cambria"/>
          <w:color w:val="BF8F00"/>
          <w:sz w:val="20"/>
          <w:szCs w:val="20"/>
        </w:rPr>
        <w:lastRenderedPageBreak/>
        <w:t>AX-99572503 =&gt;148.46cM / chr3D : 616 Mb</w:t>
      </w:r>
    </w:p>
    <w:p w14:paraId="7434A51A" w14:textId="77777777" w:rsidR="00E30B30" w:rsidRPr="000F6FE5" w:rsidRDefault="00E30B30" w:rsidP="00E30B30">
      <w:pPr>
        <w:rPr>
          <w:rFonts w:ascii="Cambria" w:hAnsi="Cambria"/>
          <w:color w:val="FF66FF"/>
          <w:sz w:val="20"/>
          <w:szCs w:val="20"/>
        </w:rPr>
      </w:pPr>
      <w:r w:rsidRPr="000F6FE5">
        <w:rPr>
          <w:rFonts w:ascii="Cambria" w:hAnsi="Cambria"/>
          <w:color w:val="FF66FF"/>
          <w:sz w:val="20"/>
          <w:szCs w:val="20"/>
        </w:rPr>
        <w:t>AX-99487288 =&gt;149.27cM / chr7D: 597 Mb</w:t>
      </w:r>
    </w:p>
    <w:p w14:paraId="22AEC079" w14:textId="77777777" w:rsidR="00E30B30" w:rsidRPr="00375F71" w:rsidRDefault="00E30B30" w:rsidP="00E30B30">
      <w:pPr>
        <w:rPr>
          <w:rFonts w:ascii="Cambria" w:hAnsi="Cambria"/>
          <w:color w:val="FF66FF"/>
          <w:sz w:val="20"/>
          <w:szCs w:val="20"/>
        </w:rPr>
      </w:pPr>
      <w:r w:rsidRPr="00375F71">
        <w:rPr>
          <w:rFonts w:ascii="Cambria" w:hAnsi="Cambria"/>
          <w:color w:val="FF66FF"/>
          <w:sz w:val="20"/>
          <w:szCs w:val="20"/>
        </w:rPr>
        <w:t>AX-99339792 =&gt;174.49cM / chr7D : 641 Mb </w:t>
      </w:r>
    </w:p>
    <w:p w14:paraId="251A9655" w14:textId="77777777" w:rsidR="00E30B30" w:rsidRPr="00D323A1" w:rsidRDefault="00E30B30" w:rsidP="00E30B30">
      <w:pPr>
        <w:rPr>
          <w:rFonts w:ascii="Cambria" w:hAnsi="Cambria"/>
          <w:sz w:val="22"/>
          <w:szCs w:val="22"/>
        </w:rPr>
      </w:pPr>
    </w:p>
    <w:p w14:paraId="08061373" w14:textId="77777777" w:rsidR="00E30B30" w:rsidRPr="00B74A63" w:rsidRDefault="00E30B30" w:rsidP="00E30B30">
      <w:pPr>
        <w:rPr>
          <w:rFonts w:ascii="Cambria" w:hAnsi="Cambria"/>
          <w:sz w:val="22"/>
          <w:szCs w:val="22"/>
        </w:rPr>
      </w:pPr>
      <w:r w:rsidRPr="00D323A1">
        <w:rPr>
          <w:rFonts w:ascii="Cambria" w:hAnsi="Cambria"/>
          <w:sz w:val="22"/>
          <w:szCs w:val="22"/>
        </w:rPr>
        <w:t>Cette colinéarité des chromosomes de seigles avec ceux des autres céréales est documentée sur l’orge (Bauer et al, 2016) ; le 6R porte un morceau de chromosome 3H et 7H (cf. figure ci-dessous).</w:t>
      </w:r>
    </w:p>
    <w:p w14:paraId="6C24CAB6" w14:textId="1F218124" w:rsidR="00E30B30" w:rsidRPr="00514EDA" w:rsidRDefault="00E30B30" w:rsidP="00E30B30">
      <w:pPr>
        <w:jc w:val="center"/>
      </w:pPr>
      <w:r>
        <w:rPr>
          <w:noProof/>
        </w:rPr>
        <w:drawing>
          <wp:inline distT="0" distB="0" distL="0" distR="0" wp14:anchorId="6EF4B7A1" wp14:editId="4EA85EBD">
            <wp:extent cx="5816680" cy="2071396"/>
            <wp:effectExtent l="0" t="0" r="0" b="508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309" cy="2101890"/>
                    </a:xfrm>
                    <a:prstGeom prst="rect">
                      <a:avLst/>
                    </a:prstGeom>
                    <a:noFill/>
                    <a:ln>
                      <a:noFill/>
                    </a:ln>
                  </pic:spPr>
                </pic:pic>
              </a:graphicData>
            </a:graphic>
          </wp:inline>
        </w:drawing>
      </w:r>
    </w:p>
    <w:p w14:paraId="5A81A133" w14:textId="77777777" w:rsidR="00E30B30" w:rsidRPr="000E5E19" w:rsidRDefault="00E30B30" w:rsidP="000E5E19">
      <w:pPr>
        <w:jc w:val="both"/>
        <w:rPr>
          <w:rFonts w:ascii="Cambria" w:hAnsi="Cambria" w:cs="Arial"/>
          <w:sz w:val="22"/>
          <w:szCs w:val="22"/>
        </w:rPr>
      </w:pPr>
      <w:r w:rsidRPr="000E5E19">
        <w:rPr>
          <w:rFonts w:ascii="Cambria" w:hAnsi="Cambria" w:cs="Arial"/>
          <w:sz w:val="22"/>
          <w:szCs w:val="22"/>
        </w:rPr>
        <w:t xml:space="preserve">Pour finir, 2833 SNP dont la séquence contexte correspond clairement à des zones des chromosomes 6D, 3D et 7D (les résultats sont identiques sur les sous-génomes AA et BB) ont été identifiés dans l'intervalle génétique des QTL6R, de 31 cM à 174 cM. L'intervalle génomique représente 513 Mb ce qui correspond à 3 segments chromosomiques de 419 Mb sur le chromosome 6, à 51 Mb sur le 3 et à 44 Mb sur le chromosome 7. </w:t>
      </w:r>
    </w:p>
    <w:p w14:paraId="4079D1F0" w14:textId="34B97D6B" w:rsidR="00E30B30" w:rsidRPr="000E5E19" w:rsidRDefault="00E30B30" w:rsidP="000E5E19">
      <w:pPr>
        <w:pStyle w:val="Paragraphedeliste"/>
        <w:spacing w:line="240" w:lineRule="auto"/>
        <w:ind w:left="0"/>
        <w:jc w:val="both"/>
        <w:rPr>
          <w:rFonts w:ascii="Cambria" w:hAnsi="Cambria"/>
        </w:rPr>
      </w:pPr>
      <w:r w:rsidRPr="000E5E19">
        <w:rPr>
          <w:rFonts w:ascii="Cambria" w:eastAsia="Times New Roman" w:hAnsi="Cambria"/>
        </w:rPr>
        <w:t>Les SNP dont la position en cM ne correspondait pas à la position chromosomique prédite en Mb ont été éliminés.</w:t>
      </w:r>
      <w:r w:rsidR="000E5E19">
        <w:rPr>
          <w:rFonts w:ascii="Cambria" w:eastAsia="Times New Roman" w:hAnsi="Cambria"/>
        </w:rPr>
        <w:t xml:space="preserve"> </w:t>
      </w:r>
      <w:r w:rsidRPr="000E5E19">
        <w:rPr>
          <w:rFonts w:ascii="Cambria" w:hAnsi="Cambria"/>
        </w:rPr>
        <w:t xml:space="preserve">Au final, </w:t>
      </w:r>
      <w:r w:rsidRPr="000E5E19">
        <w:rPr>
          <w:rFonts w:ascii="Cambria" w:hAnsi="Cambria"/>
          <w:b/>
          <w:bCs/>
        </w:rPr>
        <w:t>1145 SNP</w:t>
      </w:r>
      <w:r w:rsidRPr="000E5E19">
        <w:rPr>
          <w:rFonts w:ascii="Cambria" w:hAnsi="Cambria"/>
        </w:rPr>
        <w:t xml:space="preserve"> 6R-spécifiques ont été retenus, avec une densité de SNP dans la région centromérique (130-330Mb // ~50 cM) 2 fois plus faible que dans le reste du chromosome.</w:t>
      </w:r>
    </w:p>
    <w:p w14:paraId="1C77CB97" w14:textId="77777777" w:rsidR="00E30B30" w:rsidRPr="000E5E19" w:rsidRDefault="00E30B30" w:rsidP="000E5E19">
      <w:pPr>
        <w:pStyle w:val="Paragraphedeliste"/>
        <w:spacing w:line="240" w:lineRule="auto"/>
        <w:ind w:left="0"/>
        <w:jc w:val="both"/>
        <w:rPr>
          <w:rFonts w:ascii="Cambria" w:hAnsi="Cambria" w:cs="Arial"/>
        </w:rPr>
      </w:pPr>
      <w:r w:rsidRPr="000E5E19">
        <w:rPr>
          <w:rFonts w:ascii="Cambria" w:hAnsi="Cambria" w:cs="Arial"/>
        </w:rPr>
        <w:t xml:space="preserve">Un premier jeu de 96 SNP (environ 1/10 Mb) a d’abord été défini pour leur </w:t>
      </w:r>
      <w:r w:rsidRPr="000E5E19">
        <w:rPr>
          <w:rFonts w:ascii="Cambria" w:eastAsia="Times New Roman" w:hAnsi="Cambria"/>
        </w:rPr>
        <w:t xml:space="preserve">distribution homogène le long de la séquence du chromosome 6R avec une couverture 2 fois plus faible en région centromérique par rapport au reste du chromosome. Ce jeu a été </w:t>
      </w:r>
      <w:r w:rsidRPr="000E5E19">
        <w:rPr>
          <w:rFonts w:ascii="Cambria" w:hAnsi="Cambria" w:cs="Arial"/>
        </w:rPr>
        <w:t xml:space="preserve">évalué sur un petit panel de 8 triticales. </w:t>
      </w:r>
    </w:p>
    <w:p w14:paraId="3ACA2CCF"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Trefl</w:t>
      </w:r>
      <w:r w:rsidRPr="000E5E19">
        <w:rPr>
          <w:rFonts w:ascii="Cambria" w:hAnsi="Cambria"/>
          <w:sz w:val="16"/>
          <w:szCs w:val="16"/>
        </w:rPr>
        <w:t xml:space="preserve"> (parent de population QTL) </w:t>
      </w:r>
    </w:p>
    <w:p w14:paraId="7925C994"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Vuka</w:t>
      </w:r>
      <w:r w:rsidRPr="000E5E19">
        <w:rPr>
          <w:rFonts w:ascii="Cambria" w:hAnsi="Cambria"/>
          <w:sz w:val="16"/>
          <w:szCs w:val="16"/>
        </w:rPr>
        <w:t xml:space="preserve"> (parent de population QTL) </w:t>
      </w:r>
    </w:p>
    <w:p w14:paraId="39B31E70"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Kaulos</w:t>
      </w:r>
      <w:r w:rsidRPr="000E5E19">
        <w:rPr>
          <w:rFonts w:ascii="Cambria" w:hAnsi="Cambria"/>
          <w:sz w:val="16"/>
          <w:szCs w:val="16"/>
        </w:rPr>
        <w:t xml:space="preserve"> (parent de population QTL) </w:t>
      </w:r>
    </w:p>
    <w:p w14:paraId="27A38947"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RT10013</w:t>
      </w:r>
      <w:r w:rsidRPr="000E5E19">
        <w:rPr>
          <w:rFonts w:ascii="Cambria" w:hAnsi="Cambria"/>
          <w:sz w:val="16"/>
          <w:szCs w:val="16"/>
        </w:rPr>
        <w:t xml:space="preserve"> (parent de population QTL) </w:t>
      </w:r>
    </w:p>
    <w:p w14:paraId="47D6336C"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SW Talentro</w:t>
      </w:r>
      <w:r w:rsidRPr="000E5E19">
        <w:rPr>
          <w:rFonts w:ascii="Cambria" w:hAnsi="Cambria"/>
          <w:sz w:val="16"/>
          <w:szCs w:val="16"/>
        </w:rPr>
        <w:t xml:space="preserve"> (parent de population QTL)</w:t>
      </w:r>
    </w:p>
    <w:p w14:paraId="7F7F8CC6"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Maximal</w:t>
      </w:r>
      <w:r w:rsidRPr="000E5E19">
        <w:rPr>
          <w:rFonts w:ascii="Cambria" w:hAnsi="Cambria"/>
          <w:sz w:val="16"/>
          <w:szCs w:val="16"/>
        </w:rPr>
        <w:t xml:space="preserve"> (parent de population QTL)</w:t>
      </w:r>
    </w:p>
    <w:p w14:paraId="5B488043"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13HT18-13</w:t>
      </w:r>
      <w:r w:rsidRPr="000E5E19">
        <w:rPr>
          <w:rFonts w:ascii="Cambria" w:hAnsi="Cambria"/>
          <w:sz w:val="16"/>
          <w:szCs w:val="16"/>
        </w:rPr>
        <w:t xml:space="preserve"> (bonne lignée issue de triticale primaire (seigle connu) x variété : 09BS6-2-20(01BB11-3-4(=Balthazar-compatible) /Marcelo) // Grenado)</w:t>
      </w:r>
    </w:p>
    <w:p w14:paraId="076D7FC2" w14:textId="77777777" w:rsidR="00E30B30" w:rsidRPr="000E5E19" w:rsidRDefault="00E30B30" w:rsidP="000E5E19">
      <w:pPr>
        <w:jc w:val="both"/>
        <w:rPr>
          <w:rFonts w:ascii="Cambria" w:hAnsi="Cambria"/>
          <w:sz w:val="16"/>
          <w:szCs w:val="16"/>
        </w:rPr>
      </w:pPr>
      <w:r w:rsidRPr="000E5E19">
        <w:rPr>
          <w:rFonts w:ascii="Cambria" w:hAnsi="Cambria"/>
          <w:b/>
          <w:bCs/>
          <w:sz w:val="16"/>
          <w:szCs w:val="16"/>
        </w:rPr>
        <w:t>16DS11-6-1</w:t>
      </w:r>
      <w:r w:rsidRPr="000E5E19">
        <w:rPr>
          <w:rFonts w:ascii="Cambria" w:hAnsi="Cambria"/>
          <w:sz w:val="16"/>
          <w:szCs w:val="16"/>
        </w:rPr>
        <w:t xml:space="preserve"> (triticale primaire hexaploïde: Gibus (blé dur)/</w:t>
      </w:r>
      <w:r w:rsidRPr="000E5E19">
        <w:rPr>
          <w:rFonts w:ascii="Cambria" w:hAnsi="Cambria"/>
          <w:color w:val="000000"/>
          <w:sz w:val="16"/>
          <w:szCs w:val="16"/>
        </w:rPr>
        <w:t>Elego(</w:t>
      </w:r>
      <w:r w:rsidRPr="000E5E19">
        <w:rPr>
          <w:rFonts w:ascii="Cambria" w:hAnsi="Cambria"/>
          <w:sz w:val="16"/>
          <w:szCs w:val="16"/>
        </w:rPr>
        <w:t>seigle non hybride), utilisé ultérieurement en croisement avec variété de triticale)</w:t>
      </w:r>
    </w:p>
    <w:p w14:paraId="0ECADACB" w14:textId="77777777" w:rsidR="00E30B30" w:rsidRPr="000E5E19" w:rsidRDefault="00E30B30" w:rsidP="000E5E19">
      <w:pPr>
        <w:jc w:val="both"/>
        <w:rPr>
          <w:rFonts w:ascii="Cambria" w:hAnsi="Cambria"/>
          <w:sz w:val="22"/>
          <w:szCs w:val="22"/>
        </w:rPr>
      </w:pPr>
    </w:p>
    <w:p w14:paraId="69316B1D" w14:textId="03254C21" w:rsidR="00E30B30" w:rsidRPr="000E5E19" w:rsidRDefault="00E30B30" w:rsidP="000E5E19">
      <w:pPr>
        <w:jc w:val="both"/>
        <w:rPr>
          <w:rFonts w:ascii="Cambria" w:hAnsi="Cambria" w:cs="Arial"/>
          <w:sz w:val="22"/>
          <w:szCs w:val="22"/>
        </w:rPr>
      </w:pPr>
      <w:r w:rsidRPr="000E5E19">
        <w:rPr>
          <w:rFonts w:ascii="Cambria" w:hAnsi="Cambria"/>
          <w:sz w:val="22"/>
          <w:szCs w:val="22"/>
        </w:rPr>
        <w:t xml:space="preserve">L’analyse </w:t>
      </w:r>
      <w:r w:rsidR="000E5E19">
        <w:rPr>
          <w:rFonts w:ascii="Cambria" w:hAnsi="Cambria"/>
          <w:sz w:val="22"/>
          <w:szCs w:val="22"/>
        </w:rPr>
        <w:t>du</w:t>
      </w:r>
      <w:r w:rsidRPr="000E5E19">
        <w:rPr>
          <w:rFonts w:ascii="Cambria" w:hAnsi="Cambria"/>
          <w:sz w:val="22"/>
          <w:szCs w:val="22"/>
        </w:rPr>
        <w:t xml:space="preserve"> premier jeu de marqueurs a mis en évidence que globalement, un marqueur sur deux (45/96) donnait de bons résultats c’est-à-dire pas d’amplification sur blé et un polymorphisme sur triticale. Il y en a 14 qui amplifient sur blé et ne sont pas polymorphes sur triticales et 14 autres non polymorphes sur triticale. 23 </w:t>
      </w:r>
      <w:r w:rsidR="000E5E19">
        <w:rPr>
          <w:rFonts w:ascii="Cambria" w:hAnsi="Cambria"/>
          <w:sz w:val="22"/>
          <w:szCs w:val="22"/>
        </w:rPr>
        <w:t xml:space="preserve">autres </w:t>
      </w:r>
      <w:r w:rsidRPr="000E5E19">
        <w:rPr>
          <w:rFonts w:ascii="Cambria" w:hAnsi="Cambria"/>
          <w:sz w:val="22"/>
          <w:szCs w:val="22"/>
        </w:rPr>
        <w:t xml:space="preserve">amplifient sur blé et sont polymorphes sur triticale) mais seule la cartographie dira s’ils sont sur le 6R… </w:t>
      </w:r>
      <w:r w:rsidR="000E5E19">
        <w:rPr>
          <w:rFonts w:ascii="Cambria" w:hAnsi="Cambria"/>
          <w:sz w:val="22"/>
          <w:szCs w:val="22"/>
        </w:rPr>
        <w:t>Pour</w:t>
      </w:r>
      <w:r w:rsidRPr="000E5E19">
        <w:rPr>
          <w:rFonts w:ascii="Cambria" w:hAnsi="Cambria"/>
          <w:sz w:val="22"/>
          <w:szCs w:val="22"/>
        </w:rPr>
        <w:t xml:space="preserve"> les 45 + 23, le polymorphisme est homogène entre les croisements avec environ 1/3 de marqueurs polymorphes par croisement. Mais pour la population, Kaulos x Vuka, retenue pour la cartographie fine seulement 10 marqueurs sont polymorphes. Ils définissent le dernier tiers du chromosome 6RL de 91cM (</w:t>
      </w:r>
      <w:r w:rsidRPr="000E5E19">
        <w:rPr>
          <w:rFonts w:ascii="Cambria" w:hAnsi="Cambria" w:cs="Arial"/>
          <w:sz w:val="22"/>
          <w:szCs w:val="22"/>
        </w:rPr>
        <w:t>chr6D-475 Mb)</w:t>
      </w:r>
      <w:r w:rsidRPr="000E5E19">
        <w:rPr>
          <w:rFonts w:ascii="Cambria" w:hAnsi="Cambria"/>
          <w:sz w:val="22"/>
          <w:szCs w:val="22"/>
        </w:rPr>
        <w:t xml:space="preserve"> à 156cM. </w:t>
      </w:r>
      <w:r w:rsidRPr="000E5E19">
        <w:rPr>
          <w:rFonts w:ascii="Cambria" w:hAnsi="Cambria" w:cs="Arial"/>
          <w:sz w:val="22"/>
          <w:szCs w:val="22"/>
        </w:rPr>
        <w:t xml:space="preserve">Cela cible la zone qui porte les 2 fragments issus de translocations des chromosomes 3 + 7 au bout du chromosome 6. </w:t>
      </w:r>
    </w:p>
    <w:p w14:paraId="27E7320B" w14:textId="77777777" w:rsidR="00E30B30" w:rsidRPr="000E5E19" w:rsidRDefault="00E30B30" w:rsidP="000E5E19">
      <w:pPr>
        <w:pStyle w:val="Paragraphedeliste"/>
        <w:spacing w:line="240" w:lineRule="auto"/>
        <w:ind w:left="0"/>
        <w:jc w:val="both"/>
        <w:rPr>
          <w:rFonts w:ascii="Cambria" w:hAnsi="Cambria" w:cs="Arial"/>
        </w:rPr>
      </w:pPr>
    </w:p>
    <w:p w14:paraId="6B77A929" w14:textId="48E646C9" w:rsidR="00E30B30" w:rsidRPr="000E5E19" w:rsidRDefault="00E30B30" w:rsidP="000E5E19">
      <w:pPr>
        <w:pStyle w:val="Paragraphedeliste"/>
        <w:spacing w:line="240" w:lineRule="auto"/>
        <w:ind w:left="0"/>
        <w:jc w:val="both"/>
        <w:rPr>
          <w:rFonts w:ascii="Cambria" w:hAnsi="Cambria" w:cs="Arial"/>
        </w:rPr>
      </w:pPr>
      <w:r w:rsidRPr="000E5E19">
        <w:rPr>
          <w:rFonts w:ascii="Cambria" w:hAnsi="Cambria" w:cs="Arial"/>
        </w:rPr>
        <w:lastRenderedPageBreak/>
        <w:t xml:space="preserve">Un deuxième jeu de 96 marqueurs ciblant plus spécifiquement l’extrémité du chromosome 6R a été trié, ces 2 séquences de tri ont permis de retenir 39 marqueurs polymorphes (1 tous les 3 cM) dans la population Kaulos x Vuka et ils définissent une région entre les SNP68 et SNP95 de 108Mb d'après leur taille sur le génome D de blé, sur les 513 Mb ciblés initialement : </w:t>
      </w:r>
    </w:p>
    <w:p w14:paraId="68A16993" w14:textId="77777777" w:rsidR="00E30B30" w:rsidRPr="000E5E19" w:rsidRDefault="00E30B30" w:rsidP="000E5E19">
      <w:pPr>
        <w:pStyle w:val="Paragraphedeliste"/>
        <w:jc w:val="both"/>
        <w:rPr>
          <w:rFonts w:ascii="Cambria" w:hAnsi="Cambria" w:cs="Arial"/>
        </w:rPr>
      </w:pPr>
      <w:r w:rsidRPr="000E5E19">
        <w:rPr>
          <w:rFonts w:ascii="Cambria" w:hAnsi="Cambria" w:cs="Arial"/>
        </w:rPr>
        <w:t>13 Mb du chr. 6D</w:t>
      </w:r>
    </w:p>
    <w:p w14:paraId="135C2AF6" w14:textId="77777777" w:rsidR="00E30B30" w:rsidRPr="000E5E19" w:rsidRDefault="00E30B30" w:rsidP="000E5E19">
      <w:pPr>
        <w:pStyle w:val="Paragraphedeliste"/>
        <w:jc w:val="both"/>
        <w:rPr>
          <w:rFonts w:ascii="Cambria" w:hAnsi="Cambria" w:cs="Arial"/>
        </w:rPr>
      </w:pPr>
      <w:r w:rsidRPr="000E5E19">
        <w:rPr>
          <w:rFonts w:ascii="Cambria" w:hAnsi="Cambria" w:cs="Arial"/>
        </w:rPr>
        <w:t>51 Mb du chr. 3D</w:t>
      </w:r>
    </w:p>
    <w:p w14:paraId="51E8CAD3" w14:textId="77777777" w:rsidR="00E30B30" w:rsidRPr="000E5E19" w:rsidRDefault="00E30B30" w:rsidP="000E5E19">
      <w:pPr>
        <w:pStyle w:val="Paragraphedeliste"/>
        <w:jc w:val="both"/>
        <w:rPr>
          <w:rFonts w:ascii="Cambria" w:hAnsi="Cambria" w:cs="Arial"/>
        </w:rPr>
      </w:pPr>
      <w:r w:rsidRPr="000E5E19">
        <w:rPr>
          <w:rFonts w:ascii="Cambria" w:hAnsi="Cambria" w:cs="Arial"/>
        </w:rPr>
        <w:t>44Mb du chr. 7D</w:t>
      </w:r>
    </w:p>
    <w:p w14:paraId="6AB9E7FA" w14:textId="77777777" w:rsidR="00E30B30" w:rsidRPr="000E5E19" w:rsidRDefault="00E30B30" w:rsidP="000E5E19">
      <w:pPr>
        <w:pStyle w:val="Paragraphedeliste"/>
        <w:spacing w:line="240" w:lineRule="auto"/>
        <w:ind w:left="0"/>
        <w:jc w:val="both"/>
        <w:rPr>
          <w:rFonts w:ascii="Cambria" w:hAnsi="Cambria" w:cs="Arial"/>
        </w:rPr>
      </w:pPr>
    </w:p>
    <w:p w14:paraId="79054E2A" w14:textId="77777777" w:rsidR="00E30B30" w:rsidRPr="000E5E19" w:rsidRDefault="00E30B30" w:rsidP="000E5E19">
      <w:pPr>
        <w:pStyle w:val="Paragraphedeliste"/>
        <w:spacing w:line="240" w:lineRule="auto"/>
        <w:ind w:left="0"/>
        <w:jc w:val="both"/>
        <w:rPr>
          <w:rFonts w:ascii="Cambria" w:hAnsi="Cambria" w:cs="Arial"/>
          <w:u w:val="single"/>
        </w:rPr>
      </w:pPr>
      <w:r w:rsidRPr="000E5E19">
        <w:rPr>
          <w:rFonts w:ascii="Cambria" w:hAnsi="Cambria" w:cs="Arial"/>
          <w:i/>
          <w:iCs/>
          <w:u w:val="single"/>
        </w:rPr>
        <w:t>Yr83 </w:t>
      </w:r>
      <w:r w:rsidRPr="000E5E19">
        <w:rPr>
          <w:rFonts w:ascii="Cambria" w:hAnsi="Cambria" w:cs="Arial"/>
          <w:u w:val="single"/>
        </w:rPr>
        <w:t xml:space="preserve">: nouveau gène de résistance publié </w:t>
      </w:r>
    </w:p>
    <w:p w14:paraId="5B94941F" w14:textId="5143438C" w:rsidR="00E30B30" w:rsidRPr="000E5E19" w:rsidRDefault="00E30B30" w:rsidP="000E5E19">
      <w:pPr>
        <w:pStyle w:val="Paragraphedeliste"/>
        <w:spacing w:line="240" w:lineRule="auto"/>
        <w:ind w:left="0"/>
        <w:jc w:val="both"/>
        <w:rPr>
          <w:rFonts w:ascii="Cambria" w:hAnsi="Cambria"/>
        </w:rPr>
      </w:pPr>
      <w:r w:rsidRPr="000E5E19">
        <w:rPr>
          <w:rFonts w:ascii="Cambria" w:hAnsi="Cambria"/>
          <w:noProof/>
        </w:rPr>
        <w:drawing>
          <wp:anchor distT="0" distB="0" distL="114300" distR="114300" simplePos="0" relativeHeight="251659776" behindDoc="0" locked="0" layoutInCell="1" allowOverlap="1" wp14:anchorId="34651A8D" wp14:editId="6662CF54">
            <wp:simplePos x="0" y="0"/>
            <wp:positionH relativeFrom="column">
              <wp:posOffset>3816350</wp:posOffset>
            </wp:positionH>
            <wp:positionV relativeFrom="paragraph">
              <wp:posOffset>484454</wp:posOffset>
            </wp:positionV>
            <wp:extent cx="2844165" cy="2647950"/>
            <wp:effectExtent l="0" t="0" r="0" b="0"/>
            <wp:wrapSquare wrapText="bothSides"/>
            <wp:docPr id="31"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abl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l="3300" t="20537" r="55058" b="10437"/>
                    <a:stretch>
                      <a:fillRect/>
                    </a:stretch>
                  </pic:blipFill>
                  <pic:spPr bwMode="auto">
                    <a:xfrm>
                      <a:off x="0" y="0"/>
                      <a:ext cx="284416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E19">
        <w:rPr>
          <w:rFonts w:ascii="Cambria" w:hAnsi="Cambria" w:cs="Arial"/>
        </w:rPr>
        <w:t xml:space="preserve">Une publication d’une équipe australienne pendant la période de soumission du projet révèle un nouveau gène de résistance à la rouille jaune, </w:t>
      </w:r>
      <w:r w:rsidRPr="000E5E19">
        <w:rPr>
          <w:rFonts w:ascii="Cambria" w:hAnsi="Cambria" w:cs="Arial"/>
          <w:i/>
          <w:iCs/>
        </w:rPr>
        <w:t>Yr83</w:t>
      </w:r>
      <w:r w:rsidRPr="000E5E19">
        <w:rPr>
          <w:rFonts w:ascii="Cambria" w:hAnsi="Cambria" w:cs="Arial"/>
        </w:rPr>
        <w:t xml:space="preserve">, sur le chromosome 6R </w:t>
      </w:r>
      <w:r w:rsidRPr="000E5E19">
        <w:rPr>
          <w:rFonts w:ascii="Cambria" w:hAnsi="Cambria"/>
        </w:rPr>
        <w:t>à partir de la lignée de triticale T-701 développée au CIMMYT</w:t>
      </w:r>
      <w:r w:rsidRPr="000E5E19">
        <w:rPr>
          <w:rFonts w:ascii="Cambria" w:hAnsi="Cambria" w:cs="Arial"/>
        </w:rPr>
        <w:t xml:space="preserve"> (Li et al., 2020).  Ce gène se situe </w:t>
      </w:r>
      <w:r w:rsidR="000E5E19">
        <w:rPr>
          <w:rFonts w:ascii="Cambria" w:hAnsi="Cambria" w:cs="Arial"/>
        </w:rPr>
        <w:t>d</w:t>
      </w:r>
      <w:r w:rsidRPr="000E5E19">
        <w:rPr>
          <w:rFonts w:ascii="Cambria" w:hAnsi="Cambria" w:cs="Arial"/>
        </w:rPr>
        <w:t xml:space="preserve">ans la zone télomérique du chromosome 6RL, ce qui correspond à la position du QTL6R de la pop KV. </w:t>
      </w:r>
      <w:r w:rsidRPr="000E5E19">
        <w:rPr>
          <w:rFonts w:ascii="Cambria" w:hAnsi="Cambria"/>
        </w:rPr>
        <w:t xml:space="preserve">Il est possible que notre QTL 6R corresponde au gène </w:t>
      </w:r>
      <w:r w:rsidRPr="000E5E19">
        <w:rPr>
          <w:rFonts w:ascii="Cambria" w:hAnsi="Cambria"/>
          <w:i/>
          <w:iCs/>
        </w:rPr>
        <w:t>Yr83</w:t>
      </w:r>
      <w:r w:rsidRPr="000E5E19">
        <w:rPr>
          <w:rFonts w:ascii="Cambria" w:hAnsi="Cambria"/>
        </w:rPr>
        <w:t xml:space="preserve"> puisque la zone identifiée par le QTL6R couvre une bonne partie du chromosome 6R de seigle (de 31cM à 174 cM) ce qui correspond à tout un côté d’un groupe de liaison donc potentiellement une région télomérique. </w:t>
      </w:r>
    </w:p>
    <w:p w14:paraId="6E0354A2" w14:textId="77777777" w:rsidR="00E30B30" w:rsidRPr="000E5E19" w:rsidRDefault="00E30B30" w:rsidP="000E5E19">
      <w:pPr>
        <w:pStyle w:val="Paragraphedeliste"/>
        <w:spacing w:after="0" w:line="240" w:lineRule="auto"/>
        <w:ind w:left="0"/>
        <w:jc w:val="both"/>
        <w:rPr>
          <w:rFonts w:ascii="Cambria" w:hAnsi="Cambria" w:cs="Arial"/>
        </w:rPr>
      </w:pPr>
      <w:r w:rsidRPr="000E5E19">
        <w:rPr>
          <w:rFonts w:ascii="Cambria" w:hAnsi="Cambria"/>
        </w:rPr>
        <w:t xml:space="preserve">Les séquences des marqueurs du BIN 6RL5 sur lequel est le gène </w:t>
      </w:r>
      <w:r w:rsidRPr="000E5E19">
        <w:rPr>
          <w:rFonts w:ascii="Cambria" w:hAnsi="Cambria"/>
          <w:i/>
          <w:iCs/>
        </w:rPr>
        <w:t xml:space="preserve">Yr83 </w:t>
      </w:r>
      <w:r w:rsidRPr="000E5E19">
        <w:rPr>
          <w:rFonts w:ascii="Cambria" w:hAnsi="Cambria"/>
        </w:rPr>
        <w:t xml:space="preserve">ayant été récupérées, la localisation des amorces par Blast sur les contigs de Lo7 </w:t>
      </w:r>
      <w:r w:rsidRPr="000E5E19">
        <w:rPr>
          <w:rFonts w:ascii="Cambria" w:hAnsi="Cambria" w:cs="Arial"/>
        </w:rPr>
        <w:t>(Rabanus-Wallace et al., 2021)</w:t>
      </w:r>
      <w:r w:rsidRPr="000E5E19">
        <w:rPr>
          <w:rFonts w:ascii="Cambria" w:hAnsi="Cambria"/>
        </w:rPr>
        <w:t xml:space="preserve"> a permis de situer certains des marqueurs par rapport au QTL6R.</w:t>
      </w:r>
    </w:p>
    <w:p w14:paraId="10D2AFDC" w14:textId="77777777" w:rsidR="00E30B30" w:rsidRPr="000E5E19" w:rsidRDefault="00E30B30" w:rsidP="000E5E19">
      <w:pPr>
        <w:autoSpaceDE w:val="0"/>
        <w:autoSpaceDN w:val="0"/>
        <w:adjustRightInd w:val="0"/>
        <w:jc w:val="both"/>
        <w:rPr>
          <w:rFonts w:ascii="Cambria" w:hAnsi="Cambria" w:cs="STIX-Regular"/>
          <w:sz w:val="22"/>
          <w:szCs w:val="22"/>
        </w:rPr>
      </w:pPr>
      <w:r w:rsidRPr="000E5E19">
        <w:rPr>
          <w:rFonts w:ascii="Cambria" w:hAnsi="Cambria" w:cs="STIX-Regular"/>
          <w:sz w:val="22"/>
          <w:szCs w:val="22"/>
        </w:rPr>
        <w:t xml:space="preserve">Afin de mieux comprendre la similitude potentielle entre </w:t>
      </w:r>
      <w:r w:rsidRPr="000E5E19">
        <w:rPr>
          <w:rFonts w:ascii="Cambria" w:hAnsi="Cambria" w:cs="STIX-Regular"/>
          <w:i/>
          <w:iCs/>
          <w:sz w:val="22"/>
          <w:szCs w:val="22"/>
        </w:rPr>
        <w:t>Yr83</w:t>
      </w:r>
      <w:r w:rsidRPr="000E5E19">
        <w:rPr>
          <w:rFonts w:ascii="Cambria" w:hAnsi="Cambria" w:cs="STIX-Regular"/>
          <w:sz w:val="22"/>
          <w:szCs w:val="22"/>
        </w:rPr>
        <w:t xml:space="preserve"> et le QTL6R, les lignées apparentées au génotype T-701 (Koala x TCL Maya IIArm “S”) présentes dans le germplasme mexicain ont été ajoutées au panel GWAS.</w:t>
      </w:r>
    </w:p>
    <w:p w14:paraId="7DB138B3" w14:textId="77777777" w:rsidR="00E30B30" w:rsidRPr="000E5E19" w:rsidRDefault="00E30B30" w:rsidP="000E5E19">
      <w:pPr>
        <w:pStyle w:val="Paragraphedeliste"/>
        <w:spacing w:line="240" w:lineRule="auto"/>
        <w:ind w:left="0"/>
        <w:jc w:val="both"/>
        <w:rPr>
          <w:rFonts w:ascii="Cambria" w:hAnsi="Cambria" w:cs="Arial"/>
        </w:rPr>
      </w:pPr>
    </w:p>
    <w:p w14:paraId="3BD66507" w14:textId="77777777" w:rsidR="00E30B30" w:rsidRPr="000E5E19" w:rsidRDefault="00E30B30" w:rsidP="000E5E19">
      <w:pPr>
        <w:pStyle w:val="Titre2"/>
        <w:numPr>
          <w:ilvl w:val="0"/>
          <w:numId w:val="0"/>
        </w:numPr>
        <w:ind w:left="426"/>
        <w:rPr>
          <w:rFonts w:ascii="Cambria" w:hAnsi="Cambria"/>
          <w:b w:val="0"/>
          <w:i w:val="0"/>
          <w:sz w:val="22"/>
          <w:szCs w:val="22"/>
        </w:rPr>
      </w:pPr>
      <w:r w:rsidRPr="000E5E19">
        <w:rPr>
          <w:rFonts w:ascii="Cambria" w:hAnsi="Cambria"/>
          <w:sz w:val="22"/>
          <w:szCs w:val="22"/>
        </w:rPr>
        <w:t xml:space="preserve">A.2. Génotypage de 2000 individus recombinants G1 </w:t>
      </w:r>
      <w:r w:rsidRPr="000E5E19">
        <w:rPr>
          <w:rFonts w:ascii="Cambria" w:hAnsi="Cambria"/>
          <w:b w:val="0"/>
          <w:i w:val="0"/>
          <w:sz w:val="22"/>
          <w:szCs w:val="22"/>
        </w:rPr>
        <w:t>(Arvalis)</w:t>
      </w:r>
    </w:p>
    <w:p w14:paraId="2AEE8315" w14:textId="77777777" w:rsidR="00E30B30" w:rsidRPr="000E5E19" w:rsidRDefault="00E30B30" w:rsidP="000E5E19">
      <w:pPr>
        <w:jc w:val="both"/>
        <w:rPr>
          <w:rFonts w:ascii="Cambria" w:hAnsi="Cambria" w:cs="Arial"/>
          <w:sz w:val="22"/>
          <w:szCs w:val="22"/>
        </w:rPr>
      </w:pPr>
      <w:r w:rsidRPr="000E5E19">
        <w:rPr>
          <w:rFonts w:ascii="Cambria" w:hAnsi="Cambria" w:cs="Arial"/>
          <w:sz w:val="22"/>
          <w:szCs w:val="22"/>
        </w:rPr>
        <w:t xml:space="preserve">L’individu </w:t>
      </w:r>
      <w:r w:rsidRPr="000E5E19">
        <w:rPr>
          <w:rFonts w:ascii="Cambria" w:hAnsi="Cambria" w:cs="Arial"/>
          <w:color w:val="000000"/>
          <w:sz w:val="22"/>
          <w:szCs w:val="22"/>
        </w:rPr>
        <w:t>F</w:t>
      </w:r>
      <w:r w:rsidRPr="000E5E19">
        <w:rPr>
          <w:rFonts w:ascii="Cambria" w:hAnsi="Cambria" w:cs="Arial"/>
          <w:color w:val="000000"/>
          <w:sz w:val="22"/>
          <w:szCs w:val="22"/>
          <w:vertAlign w:val="subscript"/>
        </w:rPr>
        <w:t>5</w:t>
      </w:r>
      <w:r w:rsidRPr="000E5E19">
        <w:rPr>
          <w:rFonts w:ascii="Cambria" w:hAnsi="Cambria" w:cs="Arial"/>
          <w:color w:val="000000"/>
          <w:sz w:val="22"/>
          <w:szCs w:val="22"/>
        </w:rPr>
        <w:t xml:space="preserve"> KV</w:t>
      </w:r>
      <w:r w:rsidRPr="000E5E19">
        <w:rPr>
          <w:rFonts w:ascii="Cambria" w:hAnsi="Cambria" w:cs="Arial"/>
          <w:sz w:val="22"/>
          <w:szCs w:val="22"/>
        </w:rPr>
        <w:t>934177, issu du croisement entre Kaulos (sensible à la rouille jaune) et Vuka (résistant), a été choisi pour son hétérozygotie au niveau du QTL6R (22 marqueurs hétérozygotes sur 39). Cette 1</w:t>
      </w:r>
      <w:r w:rsidRPr="000E5E19">
        <w:rPr>
          <w:rFonts w:ascii="Cambria" w:hAnsi="Cambria" w:cs="Arial"/>
          <w:sz w:val="22"/>
          <w:szCs w:val="22"/>
          <w:vertAlign w:val="superscript"/>
        </w:rPr>
        <w:t>ère</w:t>
      </w:r>
      <w:r w:rsidRPr="000E5E19">
        <w:rPr>
          <w:rFonts w:ascii="Cambria" w:hAnsi="Cambria" w:cs="Arial"/>
          <w:sz w:val="22"/>
          <w:szCs w:val="22"/>
        </w:rPr>
        <w:t xml:space="preserve"> année, 2000 individus de la descendance de KV934177 ont été semés début 2021 pour prélèvement de feuilles pour génotypage et multiplication. L’ensemble des membres du GIE se sont réparti les individus à fin d’équilibrer le travail. Le prélèvement de feuilles pour le génotypage a été réalisé au stade 2-3 feuilles.</w:t>
      </w:r>
    </w:p>
    <w:p w14:paraId="1B277654" w14:textId="77777777" w:rsidR="00E30B30" w:rsidRPr="000E5E19" w:rsidRDefault="00E30B30" w:rsidP="000E5E19">
      <w:pPr>
        <w:jc w:val="both"/>
        <w:rPr>
          <w:rFonts w:ascii="Cambria" w:hAnsi="Cambria" w:cs="Arial"/>
          <w:sz w:val="22"/>
          <w:szCs w:val="22"/>
        </w:rPr>
      </w:pPr>
      <w:r w:rsidRPr="000E5E19">
        <w:rPr>
          <w:rFonts w:ascii="Cambria" w:hAnsi="Cambria" w:cs="Arial"/>
          <w:sz w:val="22"/>
          <w:szCs w:val="22"/>
        </w:rPr>
        <w:t>Le polymorphisme du QTL6R de 2000 individus de la population G1 a été analysé à l’aide de 5 marqueurs localisés au niveau du QTL6R (</w:t>
      </w:r>
      <w:r w:rsidRPr="000E5E19">
        <w:rPr>
          <w:rFonts w:ascii="Cambria" w:hAnsi="Cambria" w:cs="Calibri"/>
          <w:sz w:val="22"/>
          <w:szCs w:val="22"/>
          <w:lang w:eastAsia="en-US"/>
        </w:rPr>
        <w:t>SNP 68 (pic QTL 6D TaMa), 132 et 163 (pics 3D TaMa), 181 (pic 7D TaMa) et 90 (pic 7D pop KaVu))</w:t>
      </w:r>
      <w:r w:rsidRPr="000E5E19">
        <w:rPr>
          <w:rFonts w:ascii="Cambria" w:hAnsi="Cambria" w:cs="Arial"/>
          <w:sz w:val="22"/>
          <w:szCs w:val="22"/>
        </w:rPr>
        <w:t xml:space="preserve">.  La ségrégation attendue à chaque marqueur est 7/16 A/A, 2/16 A/B (dont fait partie KV934177) et 7/16 B/B soit respectivement 875, 250 et 875 plantes environ. </w:t>
      </w:r>
    </w:p>
    <w:p w14:paraId="53F322BF" w14:textId="068832D6" w:rsidR="00E30B30" w:rsidRPr="000E5E19" w:rsidRDefault="00E30B30" w:rsidP="000E5E19">
      <w:pPr>
        <w:jc w:val="center"/>
        <w:rPr>
          <w:rFonts w:ascii="Cambria" w:hAnsi="Cambria" w:cs="Arial"/>
          <w:sz w:val="22"/>
          <w:szCs w:val="22"/>
        </w:rPr>
      </w:pPr>
      <w:r w:rsidRPr="000E5E19">
        <w:rPr>
          <w:rFonts w:ascii="Cambria" w:hAnsi="Cambria"/>
          <w:noProof/>
          <w:sz w:val="22"/>
          <w:szCs w:val="22"/>
        </w:rPr>
        <w:drawing>
          <wp:inline distT="0" distB="0" distL="0" distR="0" wp14:anchorId="404146F1" wp14:editId="16F31563">
            <wp:extent cx="2238375" cy="1214755"/>
            <wp:effectExtent l="0" t="0" r="0"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1214755"/>
                    </a:xfrm>
                    <a:prstGeom prst="rect">
                      <a:avLst/>
                    </a:prstGeom>
                    <a:noFill/>
                    <a:ln>
                      <a:noFill/>
                    </a:ln>
                  </pic:spPr>
                </pic:pic>
              </a:graphicData>
            </a:graphic>
          </wp:inline>
        </w:drawing>
      </w:r>
    </w:p>
    <w:p w14:paraId="3188D600" w14:textId="77777777" w:rsidR="00E30B30" w:rsidRPr="000E5E19" w:rsidRDefault="00E30B30" w:rsidP="000E5E19">
      <w:pPr>
        <w:jc w:val="both"/>
        <w:rPr>
          <w:rFonts w:ascii="Cambria" w:hAnsi="Cambria" w:cs="Arial"/>
          <w:sz w:val="22"/>
          <w:szCs w:val="22"/>
        </w:rPr>
      </w:pPr>
      <w:r w:rsidRPr="000E5E19">
        <w:rPr>
          <w:rFonts w:ascii="Cambria" w:hAnsi="Cambria" w:cs="Arial"/>
          <w:sz w:val="22"/>
          <w:szCs w:val="22"/>
        </w:rPr>
        <w:t>Tous les individus présentant de l’hétérozygotie au QTL ont été conservés ainsi que 150 individus homozygotes ; au total, 388 individus ont donc été sélectionnés pour la poursuite de l’évaluation au champs et du génotypage.</w:t>
      </w:r>
    </w:p>
    <w:p w14:paraId="698684F4" w14:textId="34771984" w:rsidR="00E30B30" w:rsidRPr="000E5E19" w:rsidRDefault="00E30B30" w:rsidP="000E5E19">
      <w:pPr>
        <w:jc w:val="both"/>
        <w:rPr>
          <w:rFonts w:ascii="Cambria" w:hAnsi="Cambria"/>
          <w:sz w:val="22"/>
          <w:szCs w:val="22"/>
        </w:rPr>
      </w:pPr>
      <w:r w:rsidRPr="000E5E19">
        <w:rPr>
          <w:rFonts w:ascii="Cambria" w:hAnsi="Cambria"/>
          <w:sz w:val="22"/>
          <w:szCs w:val="22"/>
        </w:rPr>
        <w:lastRenderedPageBreak/>
        <w:t xml:space="preserve">Initialement, ce premier cycle de génotypage aurait dû permettre de réduire l’intervalle du QTL. Malheureusement, ça ne sera pas le cas. Nous exploiterons donc les semences issues des hétérozygotes pour réduire la taille de l’intervalle du QTL. Le génotypage d’une dizaine de plantes pour chaque hétérozygote (fixé en dehors du QTL) générera une population d’environ 2500 individus pour la réalisation de la cartographie fine avec la même démarche que cette année soit un génotypage avec 3 à 5 marqueurs (1 au pic et 1 ou 2 de chaque côté) de l’ensemble de la population puis génotypage plus dense des recombinants de la zone. Comme les individus prélevés seront également phénotypés, la corrélation avec le phénotype Résistant /Sensible sera directe. </w:t>
      </w:r>
    </w:p>
    <w:p w14:paraId="078437B5" w14:textId="77777777" w:rsidR="00E30B30" w:rsidRPr="000E5E19" w:rsidRDefault="00E30B30" w:rsidP="000E5E19">
      <w:pPr>
        <w:jc w:val="both"/>
        <w:rPr>
          <w:rFonts w:ascii="Cambria" w:hAnsi="Cambria" w:cs="Arial"/>
          <w:sz w:val="22"/>
          <w:szCs w:val="22"/>
        </w:rPr>
      </w:pPr>
    </w:p>
    <w:p w14:paraId="7659C53C" w14:textId="77777777" w:rsidR="00E30B30" w:rsidRPr="000E5E19" w:rsidRDefault="00E30B30" w:rsidP="000E5E19">
      <w:pPr>
        <w:pStyle w:val="Titre1"/>
        <w:numPr>
          <w:ilvl w:val="0"/>
          <w:numId w:val="7"/>
        </w:numPr>
        <w:tabs>
          <w:tab w:val="num" w:pos="360"/>
          <w:tab w:val="num" w:pos="786"/>
        </w:tabs>
        <w:ind w:left="142" w:firstLine="1"/>
        <w:rPr>
          <w:rFonts w:ascii="Cambria" w:hAnsi="Cambria"/>
          <w:sz w:val="22"/>
          <w:szCs w:val="22"/>
          <w:u w:val="single"/>
        </w:rPr>
      </w:pPr>
      <w:r w:rsidRPr="000E5E19">
        <w:rPr>
          <w:rFonts w:ascii="Cambria" w:hAnsi="Cambria"/>
          <w:sz w:val="22"/>
          <w:szCs w:val="22"/>
          <w:u w:val="single"/>
        </w:rPr>
        <w:t>Caractérisation de nouvelles sources de résistance</w:t>
      </w:r>
    </w:p>
    <w:p w14:paraId="639C6577" w14:textId="77777777" w:rsidR="00E30B30" w:rsidRPr="000E5E19" w:rsidRDefault="00E30B30" w:rsidP="000E5E19">
      <w:pPr>
        <w:pStyle w:val="Titre2"/>
        <w:numPr>
          <w:ilvl w:val="0"/>
          <w:numId w:val="0"/>
        </w:numPr>
        <w:spacing w:line="240" w:lineRule="auto"/>
        <w:ind w:left="567"/>
        <w:rPr>
          <w:rFonts w:ascii="Cambria" w:hAnsi="Cambria"/>
          <w:sz w:val="22"/>
          <w:szCs w:val="22"/>
        </w:rPr>
      </w:pPr>
      <w:r w:rsidRPr="000E5E19">
        <w:rPr>
          <w:rFonts w:ascii="Cambria" w:hAnsi="Cambria"/>
          <w:sz w:val="22"/>
          <w:szCs w:val="22"/>
        </w:rPr>
        <w:t>B.1</w:t>
      </w:r>
      <w:r w:rsidRPr="000E5E19">
        <w:rPr>
          <w:rFonts w:ascii="Cambria" w:hAnsi="Cambria"/>
          <w:sz w:val="22"/>
          <w:szCs w:val="22"/>
        </w:rPr>
        <w:tab/>
        <w:t>B</w:t>
      </w:r>
      <w:r w:rsidRPr="000E5E19">
        <w:rPr>
          <w:rFonts w:ascii="Cambria" w:hAnsi="Cambria" w:cs="Arial"/>
          <w:color w:val="000000"/>
          <w:sz w:val="22"/>
          <w:szCs w:val="22"/>
        </w:rPr>
        <w:t>io-informatique</w:t>
      </w:r>
    </w:p>
    <w:p w14:paraId="0DFCE328" w14:textId="10AA0998" w:rsidR="00E30B30" w:rsidRPr="00772FC5" w:rsidRDefault="00E30B30" w:rsidP="00772FC5">
      <w:pPr>
        <w:autoSpaceDE w:val="0"/>
        <w:autoSpaceDN w:val="0"/>
        <w:adjustRightInd w:val="0"/>
        <w:jc w:val="both"/>
        <w:rPr>
          <w:rFonts w:ascii="Cambria" w:eastAsia="Calibri" w:hAnsi="Cambria" w:cs="Arial"/>
          <w:color w:val="000000"/>
          <w:sz w:val="22"/>
          <w:szCs w:val="22"/>
          <w:lang w:eastAsia="en-US"/>
        </w:rPr>
      </w:pPr>
      <w:r w:rsidRPr="000E5E19">
        <w:rPr>
          <w:rFonts w:ascii="Cambria" w:hAnsi="Cambria" w:cs="Arial"/>
          <w:sz w:val="22"/>
          <w:szCs w:val="22"/>
        </w:rPr>
        <w:t xml:space="preserve">Il a été décidé de retenir la puce Illumina de TraitGenetics pour le génotypage de la population GWAS. Cette puce comprend </w:t>
      </w:r>
      <w:r w:rsidRPr="000E5E19">
        <w:rPr>
          <w:rFonts w:ascii="Cambria" w:hAnsi="Cambria"/>
          <w:sz w:val="22"/>
          <w:szCs w:val="22"/>
        </w:rPr>
        <w:t xml:space="preserve">23 000 SNP blé tendre (génomes A, B et D) provenant de puces publiques (Illumina et Axiom) plus 5K SNP de la 35K breeders et 4 170 SNP de seigle provenant pour moitié de la puce </w:t>
      </w:r>
      <w:r w:rsidRPr="000E5E19">
        <w:rPr>
          <w:rFonts w:ascii="Cambria" w:eastAsia="Calibri" w:hAnsi="Cambria" w:cs="Arial"/>
          <w:color w:val="000000"/>
          <w:sz w:val="22"/>
          <w:szCs w:val="22"/>
          <w:lang w:eastAsia="en-US"/>
        </w:rPr>
        <w:t>5K rye (Haseneyer et al., 2011) et pour l’autre de marqueurs de gènes de seigle de la puce 600K Axiom rye (Bauer et al., 2017).</w:t>
      </w:r>
      <w:r w:rsidR="00772FC5">
        <w:rPr>
          <w:rFonts w:ascii="Cambria" w:eastAsia="Calibri" w:hAnsi="Cambria" w:cs="Arial"/>
          <w:color w:val="000000"/>
          <w:sz w:val="22"/>
          <w:szCs w:val="22"/>
          <w:lang w:eastAsia="en-US"/>
        </w:rPr>
        <w:t xml:space="preserve"> </w:t>
      </w:r>
      <w:r w:rsidRPr="000E5E19">
        <w:rPr>
          <w:rFonts w:ascii="Cambria" w:hAnsi="Cambria"/>
          <w:sz w:val="22"/>
          <w:szCs w:val="22"/>
        </w:rPr>
        <w:t>Elle contient</w:t>
      </w:r>
      <w:r w:rsidR="00772FC5">
        <w:rPr>
          <w:rFonts w:ascii="Cambria" w:hAnsi="Cambria"/>
          <w:sz w:val="22"/>
          <w:szCs w:val="22"/>
        </w:rPr>
        <w:t xml:space="preserve"> également</w:t>
      </w:r>
      <w:r w:rsidRPr="000E5E19">
        <w:rPr>
          <w:rFonts w:ascii="Cambria" w:hAnsi="Cambria"/>
          <w:sz w:val="22"/>
          <w:szCs w:val="22"/>
        </w:rPr>
        <w:t xml:space="preserve"> 239 marqueurs de gènes de caractères d’intérêt de blé.</w:t>
      </w:r>
    </w:p>
    <w:p w14:paraId="39A31F6B" w14:textId="77777777" w:rsidR="00E30B30" w:rsidRPr="009827B9" w:rsidRDefault="00E30B30" w:rsidP="00E30B30">
      <w:pPr>
        <w:rPr>
          <w:rFonts w:ascii="Cambria" w:hAnsi="Cambria" w:cs="Arial"/>
          <w:sz w:val="20"/>
          <w:szCs w:val="20"/>
        </w:rPr>
      </w:pPr>
    </w:p>
    <w:p w14:paraId="5ABE74A4" w14:textId="77777777" w:rsidR="00E30B30" w:rsidRPr="00E30B30" w:rsidRDefault="00E30B30" w:rsidP="00E30B30">
      <w:pPr>
        <w:autoSpaceDE w:val="0"/>
        <w:autoSpaceDN w:val="0"/>
        <w:adjustRightInd w:val="0"/>
        <w:rPr>
          <w:rFonts w:ascii="Cambria" w:eastAsia="Calibri" w:hAnsi="Cambria" w:cs="Arial"/>
          <w:color w:val="000000"/>
          <w:sz w:val="16"/>
          <w:szCs w:val="16"/>
          <w:lang w:eastAsia="en-US"/>
        </w:rPr>
      </w:pPr>
      <w:r w:rsidRPr="00E30B30">
        <w:rPr>
          <w:rFonts w:ascii="Cambria" w:eastAsia="Calibri" w:hAnsi="Cambria" w:cs="Arial"/>
          <w:color w:val="000000"/>
          <w:sz w:val="16"/>
          <w:szCs w:val="16"/>
          <w:lang w:eastAsia="en-US"/>
        </w:rPr>
        <w:t>Répartition physique (sur les références blé et seigle) des marqueurs de la puce 30K de TraitsGenetic.</w:t>
      </w:r>
    </w:p>
    <w:p w14:paraId="578D990F" w14:textId="5564D317" w:rsidR="00E30B30" w:rsidRDefault="00E30B30" w:rsidP="00E30B30">
      <w:pPr>
        <w:rPr>
          <w:rFonts w:ascii="Arial" w:hAnsi="Arial" w:cs="Arial"/>
          <w:lang w:val="en-US"/>
        </w:rPr>
      </w:pPr>
      <w:r w:rsidRPr="00CE7DCF">
        <w:rPr>
          <w:noProof/>
        </w:rPr>
        <w:drawing>
          <wp:inline distT="0" distB="0" distL="0" distR="0" wp14:anchorId="3B70287B" wp14:editId="6EF202DD">
            <wp:extent cx="3985260" cy="1746885"/>
            <wp:effectExtent l="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extLst>
                        <a:ext uri="{28A0092B-C50C-407E-A947-70E740481C1C}">
                          <a14:useLocalDpi xmlns:a14="http://schemas.microsoft.com/office/drawing/2010/main" val="0"/>
                        </a:ext>
                      </a:extLst>
                    </a:blip>
                    <a:srcRect l="11049" t="33694" r="30034" b="20235"/>
                    <a:stretch>
                      <a:fillRect/>
                    </a:stretch>
                  </pic:blipFill>
                  <pic:spPr bwMode="auto">
                    <a:xfrm>
                      <a:off x="0" y="0"/>
                      <a:ext cx="3985260" cy="1746885"/>
                    </a:xfrm>
                    <a:prstGeom prst="rect">
                      <a:avLst/>
                    </a:prstGeom>
                    <a:noFill/>
                    <a:ln>
                      <a:noFill/>
                    </a:ln>
                  </pic:spPr>
                </pic:pic>
              </a:graphicData>
            </a:graphic>
          </wp:inline>
        </w:drawing>
      </w:r>
      <w:r w:rsidRPr="00CE7DCF">
        <w:rPr>
          <w:noProof/>
        </w:rPr>
        <w:drawing>
          <wp:inline distT="0" distB="0" distL="0" distR="0" wp14:anchorId="69690F20" wp14:editId="3003D767">
            <wp:extent cx="1753870" cy="1760855"/>
            <wp:effectExtent l="0" t="0" r="0"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4" cstate="print">
                      <a:extLst>
                        <a:ext uri="{28A0092B-C50C-407E-A947-70E740481C1C}">
                          <a14:useLocalDpi xmlns:a14="http://schemas.microsoft.com/office/drawing/2010/main" val="0"/>
                        </a:ext>
                      </a:extLst>
                    </a:blip>
                    <a:srcRect l="11179" t="25282" r="53278" b="11459"/>
                    <a:stretch>
                      <a:fillRect/>
                    </a:stretch>
                  </pic:blipFill>
                  <pic:spPr bwMode="auto">
                    <a:xfrm>
                      <a:off x="0" y="0"/>
                      <a:ext cx="1753870" cy="1760855"/>
                    </a:xfrm>
                    <a:prstGeom prst="rect">
                      <a:avLst/>
                    </a:prstGeom>
                    <a:noFill/>
                    <a:ln>
                      <a:noFill/>
                    </a:ln>
                  </pic:spPr>
                </pic:pic>
              </a:graphicData>
            </a:graphic>
          </wp:inline>
        </w:drawing>
      </w:r>
    </w:p>
    <w:p w14:paraId="6E35BA59" w14:textId="77777777" w:rsidR="00E30B30" w:rsidRDefault="00E30B30" w:rsidP="00E30B30">
      <w:pPr>
        <w:jc w:val="center"/>
        <w:rPr>
          <w:rFonts w:ascii="Arial" w:hAnsi="Arial" w:cs="Arial"/>
          <w:lang w:val="en-US"/>
        </w:rPr>
      </w:pPr>
    </w:p>
    <w:p w14:paraId="1E3AE9BC" w14:textId="27DCCB86" w:rsidR="00E30B30" w:rsidRPr="00DE528D" w:rsidRDefault="00E30B30" w:rsidP="00E30B30">
      <w:pPr>
        <w:jc w:val="center"/>
        <w:rPr>
          <w:rFonts w:ascii="Arial" w:hAnsi="Arial" w:cs="Arial"/>
        </w:rPr>
      </w:pPr>
      <w:r w:rsidRPr="00CE7DCF">
        <w:rPr>
          <w:noProof/>
        </w:rPr>
        <w:drawing>
          <wp:inline distT="0" distB="0" distL="0" distR="0" wp14:anchorId="6B7C3792" wp14:editId="0A7AE62C">
            <wp:extent cx="4770120" cy="2060575"/>
            <wp:effectExtent l="0" t="0" r="0" b="0"/>
            <wp:docPr id="2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text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l="9071" t="43732" r="37672" b="15466"/>
                    <a:stretch>
                      <a:fillRect/>
                    </a:stretch>
                  </pic:blipFill>
                  <pic:spPr bwMode="auto">
                    <a:xfrm>
                      <a:off x="0" y="0"/>
                      <a:ext cx="4770120" cy="2060575"/>
                    </a:xfrm>
                    <a:prstGeom prst="rect">
                      <a:avLst/>
                    </a:prstGeom>
                    <a:noFill/>
                    <a:ln>
                      <a:noFill/>
                    </a:ln>
                  </pic:spPr>
                </pic:pic>
              </a:graphicData>
            </a:graphic>
          </wp:inline>
        </w:drawing>
      </w:r>
    </w:p>
    <w:p w14:paraId="55259F72" w14:textId="77777777" w:rsidR="00E30B30" w:rsidRDefault="00E30B30" w:rsidP="00E30B30">
      <w:pPr>
        <w:pStyle w:val="Titre2"/>
        <w:numPr>
          <w:ilvl w:val="0"/>
          <w:numId w:val="0"/>
        </w:numPr>
        <w:spacing w:line="240" w:lineRule="auto"/>
        <w:ind w:left="426"/>
        <w:rPr>
          <w:rFonts w:cs="Arial"/>
          <w:b w:val="0"/>
          <w:bCs/>
          <w:i w:val="0"/>
          <w:iCs/>
          <w:color w:val="000000"/>
        </w:rPr>
      </w:pPr>
      <w:bookmarkStart w:id="0" w:name="_Hlk31027164"/>
      <w:r>
        <w:t>B.2</w:t>
      </w:r>
      <w:r>
        <w:tab/>
        <w:t xml:space="preserve">Phénotypage </w:t>
      </w:r>
      <w:r w:rsidRPr="005E50D4">
        <w:rPr>
          <w:rFonts w:cs="Arial"/>
          <w:b w:val="0"/>
          <w:bCs/>
          <w:i w:val="0"/>
          <w:iCs/>
          <w:color w:val="000000"/>
        </w:rPr>
        <w:t>(A</w:t>
      </w:r>
      <w:r>
        <w:rPr>
          <w:rFonts w:cs="Arial"/>
          <w:b w:val="0"/>
          <w:bCs/>
          <w:i w:val="0"/>
          <w:iCs/>
          <w:color w:val="000000"/>
        </w:rPr>
        <w:t>r</w:t>
      </w:r>
      <w:r w:rsidRPr="005E50D4">
        <w:rPr>
          <w:rFonts w:cs="Arial"/>
          <w:b w:val="0"/>
          <w:bCs/>
          <w:i w:val="0"/>
          <w:iCs/>
          <w:color w:val="000000"/>
        </w:rPr>
        <w:t>valis</w:t>
      </w:r>
      <w:r>
        <w:rPr>
          <w:rFonts w:cs="Arial"/>
          <w:b w:val="0"/>
          <w:bCs/>
          <w:i w:val="0"/>
          <w:iCs/>
          <w:color w:val="000000"/>
        </w:rPr>
        <w:t>, GIE,</w:t>
      </w:r>
      <w:r w:rsidRPr="005E50D4">
        <w:rPr>
          <w:rFonts w:cs="Arial"/>
          <w:b w:val="0"/>
          <w:bCs/>
          <w:i w:val="0"/>
          <w:iCs/>
          <w:color w:val="000000"/>
        </w:rPr>
        <w:t xml:space="preserve"> C</w:t>
      </w:r>
      <w:r>
        <w:rPr>
          <w:rFonts w:cs="Arial"/>
          <w:b w:val="0"/>
          <w:bCs/>
          <w:i w:val="0"/>
          <w:iCs/>
          <w:color w:val="000000"/>
        </w:rPr>
        <w:t>I</w:t>
      </w:r>
      <w:r w:rsidRPr="005E50D4">
        <w:rPr>
          <w:rFonts w:cs="Arial"/>
          <w:b w:val="0"/>
          <w:bCs/>
          <w:i w:val="0"/>
          <w:iCs/>
          <w:color w:val="000000"/>
        </w:rPr>
        <w:t>MM</w:t>
      </w:r>
      <w:r>
        <w:rPr>
          <w:rFonts w:cs="Arial"/>
          <w:b w:val="0"/>
          <w:bCs/>
          <w:i w:val="0"/>
          <w:iCs/>
          <w:color w:val="000000"/>
        </w:rPr>
        <w:t>Y</w:t>
      </w:r>
      <w:r w:rsidRPr="005E50D4">
        <w:rPr>
          <w:rFonts w:cs="Arial"/>
          <w:b w:val="0"/>
          <w:bCs/>
          <w:i w:val="0"/>
          <w:iCs/>
          <w:color w:val="000000"/>
        </w:rPr>
        <w:t>T</w:t>
      </w:r>
      <w:r>
        <w:rPr>
          <w:rFonts w:cs="Arial"/>
          <w:b w:val="0"/>
          <w:bCs/>
          <w:i w:val="0"/>
          <w:iCs/>
          <w:color w:val="000000"/>
        </w:rPr>
        <w:t>, INRAE</w:t>
      </w:r>
      <w:r w:rsidRPr="005E50D4">
        <w:rPr>
          <w:rFonts w:cs="Arial"/>
          <w:b w:val="0"/>
          <w:bCs/>
          <w:i w:val="0"/>
          <w:iCs/>
          <w:color w:val="000000"/>
        </w:rPr>
        <w:t>)</w:t>
      </w:r>
    </w:p>
    <w:p w14:paraId="1F62C390" w14:textId="77777777" w:rsidR="00E30B30" w:rsidRPr="005E0BDE" w:rsidRDefault="00E30B30" w:rsidP="00E30B30"/>
    <w:p w14:paraId="2AF53B6A" w14:textId="77777777" w:rsidR="00E30B30" w:rsidRPr="00DD5919" w:rsidRDefault="00E30B30" w:rsidP="00E30B30">
      <w:pPr>
        <w:rPr>
          <w:rFonts w:ascii="Cambria" w:hAnsi="Cambria"/>
          <w:sz w:val="22"/>
          <w:szCs w:val="22"/>
        </w:rPr>
      </w:pPr>
      <w:r w:rsidRPr="00DD5919">
        <w:rPr>
          <w:rFonts w:ascii="Cambria" w:hAnsi="Cambria"/>
          <w:sz w:val="22"/>
          <w:szCs w:val="22"/>
        </w:rPr>
        <w:t xml:space="preserve">Pour la génétique d’association, un total de 241 génotypes a été retenu. Il s’agit de triticales sensibles et résistants des obtenteurs du GIE et du CIMMYT, de quelques seigles utilisés en </w:t>
      </w:r>
      <w:r w:rsidRPr="00DD5919">
        <w:rPr>
          <w:rFonts w:ascii="Cambria" w:hAnsi="Cambria"/>
          <w:sz w:val="22"/>
          <w:szCs w:val="22"/>
        </w:rPr>
        <w:lastRenderedPageBreak/>
        <w:t>croisements (y compris les parents des population</w:t>
      </w:r>
      <w:r>
        <w:rPr>
          <w:rFonts w:ascii="Cambria" w:hAnsi="Cambria"/>
          <w:sz w:val="22"/>
          <w:szCs w:val="22"/>
        </w:rPr>
        <w:t>s</w:t>
      </w:r>
      <w:r w:rsidRPr="00DD5919">
        <w:rPr>
          <w:rFonts w:ascii="Cambria" w:hAnsi="Cambria"/>
          <w:sz w:val="22"/>
          <w:szCs w:val="22"/>
        </w:rPr>
        <w:t xml:space="preserve"> du projet précédent) ainsi que quelques triticales qui étaient résistants et qui sont devenus sensibles. </w:t>
      </w:r>
    </w:p>
    <w:p w14:paraId="1CF50BA8" w14:textId="5937744F" w:rsidR="00E30B30" w:rsidRPr="005E44BE" w:rsidRDefault="00E30B30" w:rsidP="00E30B30">
      <w:pPr>
        <w:jc w:val="center"/>
        <w:rPr>
          <w:rFonts w:ascii="Cambria" w:hAnsi="Cambria"/>
          <w:sz w:val="22"/>
          <w:szCs w:val="22"/>
        </w:rPr>
      </w:pPr>
      <w:r w:rsidRPr="00E30B30">
        <w:rPr>
          <w:rFonts w:ascii="Cambria" w:hAnsi="Cambria"/>
          <w:noProof/>
          <w:sz w:val="16"/>
          <w:szCs w:val="16"/>
        </w:rPr>
        <w:drawing>
          <wp:inline distT="0" distB="0" distL="0" distR="0" wp14:anchorId="18B44109" wp14:editId="2166066B">
            <wp:extent cx="3027656" cy="4035489"/>
            <wp:effectExtent l="0" t="0" r="1905" b="3175"/>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5421" cy="4045838"/>
                    </a:xfrm>
                    <a:prstGeom prst="rect">
                      <a:avLst/>
                    </a:prstGeom>
                    <a:noFill/>
                    <a:ln>
                      <a:noFill/>
                    </a:ln>
                  </pic:spPr>
                </pic:pic>
              </a:graphicData>
            </a:graphic>
          </wp:inline>
        </w:drawing>
      </w:r>
    </w:p>
    <w:p w14:paraId="7FCCDDB5" w14:textId="6379D2E9" w:rsidR="00E30B30" w:rsidRPr="005E44BE" w:rsidRDefault="00E30B30" w:rsidP="00772FC5">
      <w:pPr>
        <w:jc w:val="both"/>
        <w:rPr>
          <w:rFonts w:ascii="Cambria" w:hAnsi="Cambria" w:cs="Arial"/>
          <w:sz w:val="22"/>
          <w:szCs w:val="22"/>
        </w:rPr>
      </w:pPr>
      <w:r w:rsidRPr="005E44BE">
        <w:rPr>
          <w:rFonts w:ascii="Cambria" w:hAnsi="Cambria" w:cs="Arial"/>
          <w:color w:val="000000"/>
          <w:sz w:val="22"/>
          <w:szCs w:val="22"/>
        </w:rPr>
        <w:t>Le phénotypage a</w:t>
      </w:r>
      <w:r>
        <w:rPr>
          <w:rFonts w:ascii="Cambria" w:hAnsi="Cambria" w:cs="Arial"/>
          <w:color w:val="000000"/>
          <w:sz w:val="22"/>
          <w:szCs w:val="22"/>
        </w:rPr>
        <w:t xml:space="preserve"> été</w:t>
      </w:r>
      <w:r w:rsidRPr="005E44BE">
        <w:rPr>
          <w:rFonts w:ascii="Cambria" w:hAnsi="Cambria" w:cs="Arial"/>
          <w:color w:val="000000"/>
          <w:sz w:val="22"/>
          <w:szCs w:val="22"/>
        </w:rPr>
        <w:t xml:space="preserve"> réalisé en inoculation contrôlée en France et au Mexique. En France, </w:t>
      </w:r>
      <w:r>
        <w:rPr>
          <w:rFonts w:ascii="Cambria" w:hAnsi="Cambria" w:cs="Arial"/>
          <w:color w:val="000000"/>
          <w:sz w:val="22"/>
          <w:szCs w:val="22"/>
        </w:rPr>
        <w:t>le</w:t>
      </w:r>
      <w:r w:rsidRPr="005E44BE">
        <w:rPr>
          <w:rFonts w:ascii="Cambria" w:hAnsi="Cambria" w:cs="Arial"/>
          <w:color w:val="000000"/>
          <w:sz w:val="22"/>
          <w:szCs w:val="22"/>
        </w:rPr>
        <w:t xml:space="preserve"> phénotypage </w:t>
      </w:r>
      <w:r>
        <w:rPr>
          <w:rFonts w:ascii="Cambria" w:hAnsi="Cambria" w:cs="Arial"/>
          <w:color w:val="000000"/>
          <w:sz w:val="22"/>
          <w:szCs w:val="22"/>
        </w:rPr>
        <w:t>a été</w:t>
      </w:r>
      <w:r w:rsidRPr="005E44BE">
        <w:rPr>
          <w:rFonts w:ascii="Cambria" w:hAnsi="Cambria" w:cs="Arial"/>
          <w:color w:val="000000"/>
          <w:sz w:val="22"/>
          <w:szCs w:val="22"/>
        </w:rPr>
        <w:t xml:space="preserve"> réalisé </w:t>
      </w:r>
      <w:r w:rsidRPr="005E44BE">
        <w:rPr>
          <w:rFonts w:ascii="Cambria" w:hAnsi="Cambria" w:cs="Arial"/>
          <w:sz w:val="22"/>
          <w:szCs w:val="22"/>
        </w:rPr>
        <w:t xml:space="preserve">sur </w:t>
      </w:r>
      <w:r>
        <w:rPr>
          <w:rFonts w:ascii="Cambria" w:hAnsi="Cambria" w:cs="Arial"/>
          <w:sz w:val="22"/>
          <w:szCs w:val="22"/>
        </w:rPr>
        <w:t>5</w:t>
      </w:r>
      <w:r w:rsidRPr="005E44BE">
        <w:rPr>
          <w:rFonts w:ascii="Cambria" w:hAnsi="Cambria" w:cs="Arial"/>
          <w:sz w:val="22"/>
          <w:szCs w:val="22"/>
        </w:rPr>
        <w:t xml:space="preserve"> essais </w:t>
      </w:r>
      <w:r>
        <w:rPr>
          <w:rFonts w:ascii="Cambria" w:hAnsi="Cambria" w:cs="Arial"/>
          <w:sz w:val="22"/>
          <w:szCs w:val="22"/>
        </w:rPr>
        <w:t>par le GIE</w:t>
      </w:r>
      <w:r w:rsidRPr="005E44BE">
        <w:rPr>
          <w:rFonts w:ascii="Cambria" w:hAnsi="Cambria" w:cs="Arial"/>
          <w:color w:val="000000"/>
          <w:sz w:val="22"/>
          <w:szCs w:val="22"/>
        </w:rPr>
        <w:t>.</w:t>
      </w:r>
      <w:r w:rsidRPr="005E44BE">
        <w:rPr>
          <w:rFonts w:ascii="Cambria" w:hAnsi="Cambria"/>
          <w:sz w:val="22"/>
          <w:szCs w:val="22"/>
        </w:rPr>
        <w:t xml:space="preserve"> </w:t>
      </w:r>
      <w:r w:rsidRPr="005E44BE">
        <w:rPr>
          <w:rFonts w:ascii="Cambria" w:hAnsi="Cambria" w:cs="Arial"/>
          <w:sz w:val="22"/>
          <w:szCs w:val="22"/>
        </w:rPr>
        <w:t xml:space="preserve">Les semis ont </w:t>
      </w:r>
      <w:r>
        <w:rPr>
          <w:rFonts w:ascii="Cambria" w:hAnsi="Cambria" w:cs="Arial"/>
          <w:sz w:val="22"/>
          <w:szCs w:val="22"/>
        </w:rPr>
        <w:t xml:space="preserve">été </w:t>
      </w:r>
      <w:r w:rsidRPr="005E44BE">
        <w:rPr>
          <w:rFonts w:ascii="Cambria" w:hAnsi="Cambria" w:cs="Arial"/>
          <w:sz w:val="22"/>
          <w:szCs w:val="22"/>
        </w:rPr>
        <w:t>réalisé</w:t>
      </w:r>
      <w:r>
        <w:rPr>
          <w:rFonts w:ascii="Cambria" w:hAnsi="Cambria" w:cs="Arial"/>
          <w:sz w:val="22"/>
          <w:szCs w:val="22"/>
        </w:rPr>
        <w:t>s</w:t>
      </w:r>
      <w:r w:rsidRPr="005E44BE">
        <w:rPr>
          <w:rFonts w:ascii="Cambria" w:hAnsi="Cambria" w:cs="Arial"/>
          <w:sz w:val="22"/>
          <w:szCs w:val="22"/>
        </w:rPr>
        <w:t xml:space="preserve"> en pépinière à raison de 2 répétitions de 2 lignes afin de pouvoir évaluer l’homogénéité de l’environnement pour chacun des lieux testés. </w:t>
      </w:r>
      <w:r w:rsidRPr="00295A64">
        <w:rPr>
          <w:rFonts w:ascii="Cambria" w:hAnsi="Cambria" w:cs="Arial"/>
          <w:sz w:val="22"/>
          <w:szCs w:val="22"/>
        </w:rPr>
        <w:t xml:space="preserve">Les essais ont été inoculés par </w:t>
      </w:r>
      <w:r w:rsidRPr="00295A64">
        <w:rPr>
          <w:rFonts w:ascii="Cambria" w:hAnsi="Cambria"/>
          <w:sz w:val="22"/>
          <w:szCs w:val="22"/>
        </w:rPr>
        <w:t xml:space="preserve">une contamination artificielle par plantules contaminées </w:t>
      </w:r>
      <w:r w:rsidRPr="00295A64">
        <w:rPr>
          <w:rFonts w:ascii="Cambria" w:hAnsi="Cambria" w:cs="Arial"/>
          <w:sz w:val="22"/>
          <w:szCs w:val="22"/>
        </w:rPr>
        <w:t>avec la</w:t>
      </w:r>
      <w:r w:rsidRPr="005E44BE">
        <w:rPr>
          <w:rFonts w:ascii="Cambria" w:hAnsi="Cambria" w:cs="Arial"/>
          <w:sz w:val="22"/>
          <w:szCs w:val="22"/>
        </w:rPr>
        <w:t xml:space="preserve"> race de rouille jaune virulente sur triticale</w:t>
      </w:r>
      <w:r>
        <w:rPr>
          <w:rFonts w:ascii="Cambria" w:hAnsi="Cambria" w:cs="Arial"/>
          <w:sz w:val="22"/>
          <w:szCs w:val="22"/>
        </w:rPr>
        <w:t xml:space="preserve"> W1 </w:t>
      </w:r>
      <w:r w:rsidR="00E87119">
        <w:rPr>
          <w:rFonts w:ascii="Cambria" w:hAnsi="Cambria" w:cs="Arial"/>
          <w:sz w:val="22"/>
          <w:szCs w:val="22"/>
        </w:rPr>
        <w:t>ou</w:t>
      </w:r>
      <w:r>
        <w:rPr>
          <w:rFonts w:ascii="Cambria" w:hAnsi="Cambria" w:cs="Arial"/>
          <w:sz w:val="22"/>
          <w:szCs w:val="22"/>
        </w:rPr>
        <w:t xml:space="preserve"> Tri2015</w:t>
      </w:r>
      <w:r w:rsidRPr="005E44BE">
        <w:rPr>
          <w:rFonts w:ascii="Cambria" w:hAnsi="Cambria" w:cs="Arial"/>
          <w:sz w:val="22"/>
          <w:szCs w:val="22"/>
        </w:rPr>
        <w:t xml:space="preserve">. </w:t>
      </w:r>
    </w:p>
    <w:p w14:paraId="71625300" w14:textId="77777777" w:rsidR="00E30B30" w:rsidRDefault="00E30B30" w:rsidP="00772FC5">
      <w:pPr>
        <w:jc w:val="both"/>
        <w:rPr>
          <w:rFonts w:ascii="Cambria" w:hAnsi="Cambria" w:cs="Arial"/>
          <w:sz w:val="22"/>
          <w:szCs w:val="22"/>
        </w:rPr>
      </w:pPr>
      <w:r w:rsidRPr="005E44BE">
        <w:rPr>
          <w:rFonts w:ascii="Cambria" w:hAnsi="Cambria" w:cs="Arial"/>
          <w:sz w:val="22"/>
          <w:szCs w:val="22"/>
        </w:rPr>
        <w:t xml:space="preserve">Les symptômes de rouille jaune ont </w:t>
      </w:r>
      <w:r>
        <w:rPr>
          <w:rFonts w:ascii="Cambria" w:hAnsi="Cambria" w:cs="Arial"/>
          <w:sz w:val="22"/>
          <w:szCs w:val="22"/>
        </w:rPr>
        <w:t xml:space="preserve">été </w:t>
      </w:r>
      <w:r w:rsidRPr="005E44BE">
        <w:rPr>
          <w:rFonts w:ascii="Cambria" w:hAnsi="Cambria" w:cs="Arial"/>
          <w:sz w:val="22"/>
          <w:szCs w:val="22"/>
        </w:rPr>
        <w:t>notés sur feuilles et sur épis à 2 ou 3 dates de manière à bien évaluer les niveaux de résistances des variétés.</w:t>
      </w:r>
    </w:p>
    <w:p w14:paraId="641716B7" w14:textId="77777777" w:rsidR="00E30B30" w:rsidRDefault="00E30B30" w:rsidP="00E30B30">
      <w:pPr>
        <w:rPr>
          <w:rFonts w:ascii="Arial Narrow" w:hAnsi="Arial Narrow"/>
        </w:rPr>
      </w:pPr>
    </w:p>
    <w:tbl>
      <w:tblPr>
        <w:tblW w:w="7900" w:type="dxa"/>
        <w:jc w:val="center"/>
        <w:tblCellMar>
          <w:left w:w="0" w:type="dxa"/>
          <w:right w:w="0" w:type="dxa"/>
        </w:tblCellMar>
        <w:tblLook w:val="04A0" w:firstRow="1" w:lastRow="0" w:firstColumn="1" w:lastColumn="0" w:noHBand="0" w:noVBand="1"/>
      </w:tblPr>
      <w:tblGrid>
        <w:gridCol w:w="2380"/>
        <w:gridCol w:w="1920"/>
        <w:gridCol w:w="1200"/>
        <w:gridCol w:w="1200"/>
        <w:gridCol w:w="1200"/>
      </w:tblGrid>
      <w:tr w:rsidR="00E30B30" w:rsidRPr="00295A64" w14:paraId="15F7B58D" w14:textId="77777777" w:rsidTr="00AB5513">
        <w:trPr>
          <w:trHeight w:val="402"/>
          <w:jc w:val="center"/>
        </w:trPr>
        <w:tc>
          <w:tcPr>
            <w:tcW w:w="2380" w:type="dxa"/>
            <w:tcBorders>
              <w:top w:val="single" w:sz="8" w:space="0" w:color="auto"/>
              <w:left w:val="nil"/>
              <w:bottom w:val="nil"/>
              <w:right w:val="nil"/>
            </w:tcBorders>
            <w:shd w:val="clear" w:color="auto" w:fill="002060"/>
            <w:noWrap/>
            <w:tcMar>
              <w:top w:w="0" w:type="dxa"/>
              <w:left w:w="70" w:type="dxa"/>
              <w:bottom w:w="0" w:type="dxa"/>
              <w:right w:w="70" w:type="dxa"/>
            </w:tcMar>
            <w:vAlign w:val="center"/>
            <w:hideMark/>
          </w:tcPr>
          <w:p w14:paraId="64CF6416" w14:textId="77777777" w:rsidR="00E30B30" w:rsidRPr="00295A64" w:rsidRDefault="00E30B30" w:rsidP="00AB5513">
            <w:pPr>
              <w:rPr>
                <w:rFonts w:ascii="Cambria" w:hAnsi="Cambria"/>
                <w:b/>
                <w:bCs/>
                <w:color w:val="FFFFFF"/>
                <w:sz w:val="16"/>
                <w:szCs w:val="16"/>
              </w:rPr>
            </w:pPr>
            <w:r w:rsidRPr="00295A64">
              <w:rPr>
                <w:rFonts w:ascii="Cambria" w:hAnsi="Cambria"/>
                <w:b/>
                <w:bCs/>
                <w:color w:val="FFFFFF"/>
                <w:sz w:val="16"/>
                <w:szCs w:val="16"/>
              </w:rPr>
              <w:t>Obtenteur</w:t>
            </w:r>
          </w:p>
        </w:tc>
        <w:tc>
          <w:tcPr>
            <w:tcW w:w="1920" w:type="dxa"/>
            <w:tcBorders>
              <w:top w:val="single" w:sz="8" w:space="0" w:color="auto"/>
              <w:left w:val="nil"/>
              <w:bottom w:val="nil"/>
              <w:right w:val="nil"/>
            </w:tcBorders>
            <w:shd w:val="clear" w:color="auto" w:fill="002060"/>
            <w:noWrap/>
            <w:tcMar>
              <w:top w:w="0" w:type="dxa"/>
              <w:left w:w="70" w:type="dxa"/>
              <w:bottom w:w="0" w:type="dxa"/>
              <w:right w:w="70" w:type="dxa"/>
            </w:tcMar>
            <w:vAlign w:val="center"/>
            <w:hideMark/>
          </w:tcPr>
          <w:p w14:paraId="033F98A1" w14:textId="77777777" w:rsidR="00E30B30" w:rsidRPr="00295A64" w:rsidRDefault="00E30B30" w:rsidP="00AB5513">
            <w:pPr>
              <w:rPr>
                <w:rFonts w:ascii="Cambria" w:hAnsi="Cambria"/>
                <w:b/>
                <w:bCs/>
                <w:color w:val="FFFFFF"/>
                <w:sz w:val="16"/>
                <w:szCs w:val="16"/>
              </w:rPr>
            </w:pPr>
            <w:r w:rsidRPr="00295A64">
              <w:rPr>
                <w:rFonts w:ascii="Cambria" w:hAnsi="Cambria"/>
                <w:b/>
                <w:bCs/>
                <w:color w:val="FFFFFF"/>
                <w:sz w:val="16"/>
                <w:szCs w:val="16"/>
              </w:rPr>
              <w:t>Site</w:t>
            </w:r>
          </w:p>
        </w:tc>
        <w:tc>
          <w:tcPr>
            <w:tcW w:w="1200" w:type="dxa"/>
            <w:tcBorders>
              <w:top w:val="single" w:sz="8" w:space="0" w:color="auto"/>
              <w:left w:val="nil"/>
              <w:bottom w:val="nil"/>
              <w:right w:val="nil"/>
            </w:tcBorders>
            <w:shd w:val="clear" w:color="auto" w:fill="002060"/>
            <w:noWrap/>
            <w:tcMar>
              <w:top w:w="0" w:type="dxa"/>
              <w:left w:w="70" w:type="dxa"/>
              <w:bottom w:w="0" w:type="dxa"/>
              <w:right w:w="70" w:type="dxa"/>
            </w:tcMar>
            <w:vAlign w:val="center"/>
            <w:hideMark/>
          </w:tcPr>
          <w:p w14:paraId="39CF1CE6" w14:textId="77777777" w:rsidR="00E30B30" w:rsidRPr="00295A64" w:rsidRDefault="00E30B30" w:rsidP="00AB5513">
            <w:pPr>
              <w:jc w:val="center"/>
              <w:rPr>
                <w:rFonts w:ascii="Cambria" w:hAnsi="Cambria"/>
                <w:b/>
                <w:bCs/>
                <w:color w:val="FFFFFF"/>
                <w:sz w:val="16"/>
                <w:szCs w:val="16"/>
              </w:rPr>
            </w:pPr>
            <w:r w:rsidRPr="00295A64">
              <w:rPr>
                <w:rFonts w:ascii="Cambria" w:hAnsi="Cambria"/>
                <w:b/>
                <w:bCs/>
                <w:color w:val="FFFFFF"/>
                <w:sz w:val="16"/>
                <w:szCs w:val="16"/>
              </w:rPr>
              <w:t>Zone</w:t>
            </w:r>
          </w:p>
        </w:tc>
        <w:tc>
          <w:tcPr>
            <w:tcW w:w="1200" w:type="dxa"/>
            <w:tcBorders>
              <w:top w:val="single" w:sz="8" w:space="0" w:color="auto"/>
              <w:left w:val="nil"/>
              <w:bottom w:val="nil"/>
              <w:right w:val="nil"/>
            </w:tcBorders>
            <w:shd w:val="clear" w:color="auto" w:fill="002060"/>
            <w:noWrap/>
            <w:tcMar>
              <w:top w:w="0" w:type="dxa"/>
              <w:left w:w="70" w:type="dxa"/>
              <w:bottom w:w="0" w:type="dxa"/>
              <w:right w:w="70" w:type="dxa"/>
            </w:tcMar>
            <w:vAlign w:val="center"/>
            <w:hideMark/>
          </w:tcPr>
          <w:p w14:paraId="5994772D" w14:textId="77777777" w:rsidR="00E30B30" w:rsidRPr="00295A64" w:rsidRDefault="00E30B30" w:rsidP="00AB5513">
            <w:pPr>
              <w:jc w:val="center"/>
              <w:rPr>
                <w:rFonts w:ascii="Cambria" w:hAnsi="Cambria"/>
                <w:b/>
                <w:bCs/>
                <w:color w:val="FFFFFF"/>
                <w:sz w:val="16"/>
                <w:szCs w:val="16"/>
              </w:rPr>
            </w:pPr>
            <w:r w:rsidRPr="00295A64">
              <w:rPr>
                <w:rFonts w:ascii="Cambria" w:hAnsi="Cambria"/>
                <w:b/>
                <w:bCs/>
                <w:color w:val="FFFFFF"/>
                <w:sz w:val="16"/>
                <w:szCs w:val="16"/>
              </w:rPr>
              <w:t>Dpt</w:t>
            </w:r>
          </w:p>
        </w:tc>
        <w:tc>
          <w:tcPr>
            <w:tcW w:w="1200" w:type="dxa"/>
            <w:tcBorders>
              <w:top w:val="single" w:sz="8" w:space="0" w:color="auto"/>
              <w:left w:val="nil"/>
              <w:bottom w:val="nil"/>
              <w:right w:val="nil"/>
            </w:tcBorders>
            <w:shd w:val="clear" w:color="auto" w:fill="002060"/>
            <w:noWrap/>
            <w:tcMar>
              <w:top w:w="0" w:type="dxa"/>
              <w:left w:w="70" w:type="dxa"/>
              <w:bottom w:w="0" w:type="dxa"/>
              <w:right w:w="70" w:type="dxa"/>
            </w:tcMar>
            <w:vAlign w:val="center"/>
            <w:hideMark/>
          </w:tcPr>
          <w:p w14:paraId="2FACDF1A" w14:textId="77777777" w:rsidR="00E30B30" w:rsidRPr="00295A64" w:rsidRDefault="00E30B30" w:rsidP="00AB5513">
            <w:pPr>
              <w:jc w:val="center"/>
              <w:rPr>
                <w:rFonts w:ascii="Cambria" w:hAnsi="Cambria"/>
                <w:b/>
                <w:bCs/>
                <w:color w:val="FFFFFF"/>
                <w:sz w:val="16"/>
                <w:szCs w:val="16"/>
              </w:rPr>
            </w:pPr>
            <w:r w:rsidRPr="00295A64">
              <w:rPr>
                <w:rFonts w:ascii="Cambria" w:hAnsi="Cambria"/>
                <w:b/>
                <w:bCs/>
                <w:color w:val="FFFFFF"/>
                <w:sz w:val="16"/>
                <w:szCs w:val="16"/>
              </w:rPr>
              <w:t>Race de Pst</w:t>
            </w:r>
          </w:p>
        </w:tc>
      </w:tr>
      <w:tr w:rsidR="00E30B30" w:rsidRPr="00295A64" w14:paraId="7F05B71D" w14:textId="77777777" w:rsidTr="00AB5513">
        <w:trPr>
          <w:trHeight w:val="172"/>
          <w:jc w:val="center"/>
        </w:trPr>
        <w:tc>
          <w:tcPr>
            <w:tcW w:w="2380"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5AFC922D"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Florimond Desprez</w:t>
            </w:r>
          </w:p>
        </w:tc>
        <w:tc>
          <w:tcPr>
            <w:tcW w:w="1920"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2680ABC8"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Cappelle en Pévèle</w:t>
            </w:r>
          </w:p>
        </w:tc>
        <w:tc>
          <w:tcPr>
            <w:tcW w:w="1200"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314ACC8F"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Nord</w:t>
            </w:r>
          </w:p>
        </w:tc>
        <w:tc>
          <w:tcPr>
            <w:tcW w:w="1200"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1D964692"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59</w:t>
            </w:r>
          </w:p>
        </w:tc>
        <w:tc>
          <w:tcPr>
            <w:tcW w:w="1200"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291E007E"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W1</w:t>
            </w:r>
          </w:p>
        </w:tc>
      </w:tr>
      <w:tr w:rsidR="00E30B30" w:rsidRPr="00295A64" w14:paraId="615463FA" w14:textId="77777777" w:rsidTr="00AB5513">
        <w:trPr>
          <w:trHeight w:val="37"/>
          <w:jc w:val="center"/>
        </w:trPr>
        <w:tc>
          <w:tcPr>
            <w:tcW w:w="238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194ECF78"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Lemaire Deffontaines</w:t>
            </w:r>
          </w:p>
        </w:tc>
        <w:tc>
          <w:tcPr>
            <w:tcW w:w="192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7F79F2DA"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Auchy Lez Orchies</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0466813F"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Nord</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6B78FEAA"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59</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1BCEA31E"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W1</w:t>
            </w:r>
          </w:p>
        </w:tc>
      </w:tr>
      <w:tr w:rsidR="00E30B30" w:rsidRPr="00295A64" w14:paraId="670597B3" w14:textId="77777777" w:rsidTr="00AB5513">
        <w:trPr>
          <w:trHeight w:val="42"/>
          <w:jc w:val="center"/>
        </w:trPr>
        <w:tc>
          <w:tcPr>
            <w:tcW w:w="238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7D8C62DB"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Secobra</w:t>
            </w:r>
          </w:p>
        </w:tc>
        <w:tc>
          <w:tcPr>
            <w:tcW w:w="192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0DB96120"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Maule</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1BCFBBF4"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Nord</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0B6A4361"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78</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06A79B83" w14:textId="77777777" w:rsidR="00E30B30" w:rsidRPr="00295A64" w:rsidRDefault="00E30B30" w:rsidP="00AB5513">
            <w:pPr>
              <w:jc w:val="center"/>
              <w:rPr>
                <w:rFonts w:ascii="Cambria" w:hAnsi="Cambria"/>
                <w:color w:val="000000"/>
                <w:sz w:val="16"/>
                <w:szCs w:val="16"/>
              </w:rPr>
            </w:pPr>
            <w:r>
              <w:rPr>
                <w:rFonts w:ascii="Cambria" w:hAnsi="Cambria"/>
                <w:color w:val="000000"/>
                <w:sz w:val="16"/>
                <w:szCs w:val="16"/>
              </w:rPr>
              <w:t>Tri2015</w:t>
            </w:r>
          </w:p>
        </w:tc>
      </w:tr>
      <w:tr w:rsidR="00E30B30" w:rsidRPr="00295A64" w14:paraId="4523046C" w14:textId="77777777" w:rsidTr="00AB5513">
        <w:trPr>
          <w:trHeight w:val="48"/>
          <w:jc w:val="center"/>
        </w:trPr>
        <w:tc>
          <w:tcPr>
            <w:tcW w:w="238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5C99A72F"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RAGT</w:t>
            </w:r>
          </w:p>
        </w:tc>
        <w:tc>
          <w:tcPr>
            <w:tcW w:w="192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0DAFAB44"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Druelle</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274A067A"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Sud</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5DE747B1"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12</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0CB6352F"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Tri 2015</w:t>
            </w:r>
          </w:p>
        </w:tc>
      </w:tr>
      <w:tr w:rsidR="00E30B30" w:rsidRPr="00295A64" w14:paraId="42FEF776" w14:textId="77777777" w:rsidTr="00AB5513">
        <w:trPr>
          <w:trHeight w:val="41"/>
          <w:jc w:val="center"/>
        </w:trPr>
        <w:tc>
          <w:tcPr>
            <w:tcW w:w="238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6B6D6D7C"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AgriObtention</w:t>
            </w:r>
          </w:p>
        </w:tc>
        <w:tc>
          <w:tcPr>
            <w:tcW w:w="192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600E2E79" w14:textId="77777777" w:rsidR="00E30B30" w:rsidRPr="00295A64" w:rsidRDefault="00E30B30" w:rsidP="00AB5513">
            <w:pPr>
              <w:rPr>
                <w:rFonts w:ascii="Cambria" w:hAnsi="Cambria"/>
                <w:color w:val="000000"/>
                <w:sz w:val="16"/>
                <w:szCs w:val="16"/>
              </w:rPr>
            </w:pPr>
            <w:r w:rsidRPr="00295A64">
              <w:rPr>
                <w:rFonts w:ascii="Cambria" w:hAnsi="Cambria"/>
                <w:color w:val="000000"/>
                <w:sz w:val="16"/>
                <w:szCs w:val="16"/>
              </w:rPr>
              <w:t>Clermont Ferrand</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1B19BEB0"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Sud</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45B51A8A"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63</w:t>
            </w:r>
          </w:p>
        </w:tc>
        <w:tc>
          <w:tcPr>
            <w:tcW w:w="120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4FC7E73D" w14:textId="77777777" w:rsidR="00E30B30" w:rsidRPr="00295A64" w:rsidRDefault="00E30B30" w:rsidP="00AB5513">
            <w:pPr>
              <w:jc w:val="center"/>
              <w:rPr>
                <w:rFonts w:ascii="Cambria" w:hAnsi="Cambria"/>
                <w:color w:val="000000"/>
                <w:sz w:val="16"/>
                <w:szCs w:val="16"/>
              </w:rPr>
            </w:pPr>
            <w:r w:rsidRPr="00295A64">
              <w:rPr>
                <w:rFonts w:ascii="Cambria" w:hAnsi="Cambria"/>
                <w:color w:val="000000"/>
                <w:sz w:val="16"/>
                <w:szCs w:val="16"/>
              </w:rPr>
              <w:t>Tri 2015</w:t>
            </w:r>
          </w:p>
        </w:tc>
      </w:tr>
    </w:tbl>
    <w:p w14:paraId="4A683DB6" w14:textId="77777777" w:rsidR="00E30B30" w:rsidRPr="005E44BE" w:rsidRDefault="00E30B30" w:rsidP="00E30B30">
      <w:pPr>
        <w:rPr>
          <w:rFonts w:ascii="Cambria" w:hAnsi="Cambria" w:cs="Arial"/>
          <w:sz w:val="22"/>
          <w:szCs w:val="22"/>
        </w:rPr>
      </w:pPr>
    </w:p>
    <w:p w14:paraId="1C1452C6" w14:textId="0A678AC8" w:rsidR="00E30B30" w:rsidRDefault="00E30B30" w:rsidP="00772FC5">
      <w:pPr>
        <w:jc w:val="center"/>
        <w:rPr>
          <w:rFonts w:ascii="Cambria" w:hAnsi="Cambria" w:cs="Arial"/>
          <w:color w:val="000000"/>
          <w:sz w:val="22"/>
          <w:szCs w:val="22"/>
        </w:rPr>
      </w:pPr>
      <w:r>
        <w:rPr>
          <w:noProof/>
        </w:rPr>
        <w:lastRenderedPageBreak/>
        <w:drawing>
          <wp:inline distT="0" distB="0" distL="0" distR="0" wp14:anchorId="4D33B700" wp14:editId="0AD1A88F">
            <wp:extent cx="3643604" cy="2127429"/>
            <wp:effectExtent l="0" t="0" r="0" b="6350"/>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5077" cy="2192516"/>
                    </a:xfrm>
                    <a:prstGeom prst="rect">
                      <a:avLst/>
                    </a:prstGeom>
                    <a:noFill/>
                    <a:ln>
                      <a:noFill/>
                    </a:ln>
                  </pic:spPr>
                </pic:pic>
              </a:graphicData>
            </a:graphic>
          </wp:inline>
        </w:drawing>
      </w:r>
      <w:r>
        <w:rPr>
          <w:noProof/>
        </w:rPr>
        <w:drawing>
          <wp:inline distT="0" distB="0" distL="0" distR="0" wp14:anchorId="2C7E2A57" wp14:editId="62C222D4">
            <wp:extent cx="3802225" cy="2384315"/>
            <wp:effectExtent l="0" t="0" r="8255"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084" cy="2412445"/>
                    </a:xfrm>
                    <a:prstGeom prst="rect">
                      <a:avLst/>
                    </a:prstGeom>
                    <a:noFill/>
                    <a:ln>
                      <a:noFill/>
                    </a:ln>
                  </pic:spPr>
                </pic:pic>
              </a:graphicData>
            </a:graphic>
          </wp:inline>
        </w:drawing>
      </w:r>
    </w:p>
    <w:p w14:paraId="52B83FBC" w14:textId="283C1BB7" w:rsidR="00E30B30" w:rsidRPr="00F2206B" w:rsidRDefault="00E30B30" w:rsidP="00772FC5">
      <w:pPr>
        <w:ind w:firstLine="708"/>
        <w:jc w:val="center"/>
        <w:rPr>
          <w:rFonts w:ascii="Cambria" w:hAnsi="Cambria" w:cs="Arial"/>
          <w:color w:val="000000"/>
          <w:sz w:val="18"/>
          <w:szCs w:val="18"/>
        </w:rPr>
      </w:pPr>
      <w:r w:rsidRPr="00F2206B">
        <w:rPr>
          <w:rFonts w:ascii="Cambria" w:hAnsi="Cambria" w:cs="Arial"/>
          <w:color w:val="000000"/>
          <w:sz w:val="18"/>
          <w:szCs w:val="18"/>
        </w:rPr>
        <w:t xml:space="preserve">Notes de résistance </w:t>
      </w:r>
      <w:r>
        <w:rPr>
          <w:rFonts w:ascii="Cambria" w:hAnsi="Cambria" w:cs="Arial"/>
          <w:color w:val="000000"/>
          <w:sz w:val="18"/>
          <w:szCs w:val="18"/>
        </w:rPr>
        <w:t>à</w:t>
      </w:r>
      <w:r w:rsidRPr="00F2206B">
        <w:rPr>
          <w:rFonts w:ascii="Cambria" w:hAnsi="Cambria" w:cs="Arial"/>
          <w:color w:val="000000"/>
          <w:sz w:val="18"/>
          <w:szCs w:val="18"/>
        </w:rPr>
        <w:t xml:space="preserve"> la race W1au site de Cappelle en Pévèle</w:t>
      </w:r>
    </w:p>
    <w:p w14:paraId="0171E5EB" w14:textId="77777777" w:rsidR="00E30B30" w:rsidRDefault="00E30B30" w:rsidP="00E30B30">
      <w:pPr>
        <w:rPr>
          <w:rFonts w:ascii="Cambria" w:hAnsi="Cambria" w:cs="Arial"/>
          <w:color w:val="000000"/>
          <w:sz w:val="16"/>
          <w:szCs w:val="16"/>
        </w:rPr>
      </w:pPr>
    </w:p>
    <w:p w14:paraId="098E1AF4" w14:textId="7D4223CB" w:rsidR="00E30B30" w:rsidRDefault="00E30B30" w:rsidP="00E30B30">
      <w:pPr>
        <w:rPr>
          <w:noProof/>
        </w:rPr>
      </w:pPr>
      <w:r w:rsidRPr="00CE7DCF">
        <w:rPr>
          <w:noProof/>
        </w:rPr>
        <w:drawing>
          <wp:inline distT="0" distB="0" distL="0" distR="0" wp14:anchorId="3EA181FE" wp14:editId="4E5A6784">
            <wp:extent cx="2719070" cy="1583690"/>
            <wp:effectExtent l="0" t="0" r="0" b="0"/>
            <wp:docPr id="20"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2206B">
        <w:rPr>
          <w:noProof/>
        </w:rPr>
        <w:t xml:space="preserve"> </w:t>
      </w:r>
      <w:r w:rsidRPr="00CE7DCF">
        <w:rPr>
          <w:noProof/>
        </w:rPr>
        <w:drawing>
          <wp:inline distT="0" distB="0" distL="0" distR="0" wp14:anchorId="15F63CF7" wp14:editId="5C3BE4E3">
            <wp:extent cx="2961640" cy="1569720"/>
            <wp:effectExtent l="0" t="0" r="0" b="0"/>
            <wp:docPr id="16"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ACA70F" w14:textId="77777777" w:rsidR="00E30B30" w:rsidRPr="00F566C2" w:rsidRDefault="00E30B30" w:rsidP="00E30B30">
      <w:pPr>
        <w:ind w:firstLine="708"/>
        <w:rPr>
          <w:rFonts w:ascii="Cambria" w:hAnsi="Cambria"/>
          <w:noProof/>
          <w:sz w:val="18"/>
          <w:szCs w:val="18"/>
        </w:rPr>
      </w:pPr>
      <w:r w:rsidRPr="00F566C2">
        <w:rPr>
          <w:rFonts w:ascii="Cambria" w:hAnsi="Cambria"/>
          <w:noProof/>
          <w:sz w:val="18"/>
          <w:szCs w:val="18"/>
        </w:rPr>
        <w:t>Notes de résistance à la race Tri 2015 au site de Maule</w:t>
      </w:r>
    </w:p>
    <w:p w14:paraId="1991B412" w14:textId="77777777" w:rsidR="00E30B30" w:rsidRDefault="00E30B30" w:rsidP="00E30B30">
      <w:pPr>
        <w:rPr>
          <w:noProof/>
        </w:rPr>
      </w:pPr>
    </w:p>
    <w:p w14:paraId="05B5C88F" w14:textId="77777777" w:rsidR="00E30B30" w:rsidRDefault="00E30B30" w:rsidP="00E30B30">
      <w:pPr>
        <w:rPr>
          <w:rFonts w:ascii="Cambria" w:hAnsi="Cambria" w:cs="Arial"/>
          <w:color w:val="000000"/>
          <w:sz w:val="16"/>
          <w:szCs w:val="16"/>
        </w:rPr>
      </w:pPr>
    </w:p>
    <w:p w14:paraId="29DBBFA6" w14:textId="77777777" w:rsidR="00E30B30" w:rsidRDefault="00E30B30" w:rsidP="00E30B30">
      <w:pPr>
        <w:rPr>
          <w:rFonts w:ascii="Cambria" w:hAnsi="Cambria" w:cs="Arial"/>
          <w:color w:val="000000"/>
          <w:sz w:val="16"/>
          <w:szCs w:val="16"/>
        </w:rPr>
      </w:pPr>
    </w:p>
    <w:p w14:paraId="6E540D25" w14:textId="49AAC6CD" w:rsidR="00E30B30" w:rsidRDefault="00E30B30" w:rsidP="00E30B30">
      <w:pPr>
        <w:rPr>
          <w:rFonts w:ascii="Cambria" w:hAnsi="Cambria" w:cs="Arial"/>
          <w:color w:val="000000"/>
          <w:sz w:val="16"/>
          <w:szCs w:val="16"/>
        </w:rPr>
      </w:pPr>
      <w:r w:rsidRPr="00CE7DCF">
        <w:rPr>
          <w:noProof/>
        </w:rPr>
        <w:drawing>
          <wp:inline distT="0" distB="0" distL="0" distR="0" wp14:anchorId="14CBAC75" wp14:editId="03F0D868">
            <wp:extent cx="2825115" cy="1569720"/>
            <wp:effectExtent l="0" t="0" r="0" b="0"/>
            <wp:docPr id="13" name="Graphiqu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566C2">
        <w:rPr>
          <w:noProof/>
        </w:rPr>
        <w:t xml:space="preserve"> </w:t>
      </w:r>
      <w:r w:rsidRPr="00CE7DCF">
        <w:rPr>
          <w:noProof/>
        </w:rPr>
        <w:drawing>
          <wp:inline distT="0" distB="0" distL="0" distR="0" wp14:anchorId="492E6F02" wp14:editId="757C13AC">
            <wp:extent cx="2719070" cy="1595535"/>
            <wp:effectExtent l="0" t="0" r="5080" b="5080"/>
            <wp:docPr id="5" name="Graphiqu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8931BA" w14:textId="77777777" w:rsidR="00E30B30" w:rsidRPr="00F566C2" w:rsidRDefault="00E30B30" w:rsidP="00E30B30">
      <w:pPr>
        <w:ind w:firstLine="708"/>
        <w:rPr>
          <w:rFonts w:ascii="Cambria" w:hAnsi="Cambria"/>
          <w:noProof/>
          <w:sz w:val="18"/>
          <w:szCs w:val="18"/>
        </w:rPr>
      </w:pPr>
      <w:r w:rsidRPr="00F566C2">
        <w:rPr>
          <w:rFonts w:ascii="Cambria" w:hAnsi="Cambria"/>
          <w:noProof/>
          <w:sz w:val="18"/>
          <w:szCs w:val="18"/>
        </w:rPr>
        <w:t xml:space="preserve">Notes de résistance à la race Tri 2015 au site de </w:t>
      </w:r>
      <w:r>
        <w:rPr>
          <w:rFonts w:ascii="Cambria" w:hAnsi="Cambria"/>
          <w:noProof/>
          <w:sz w:val="18"/>
          <w:szCs w:val="18"/>
        </w:rPr>
        <w:t>Clermont Ferrand</w:t>
      </w:r>
    </w:p>
    <w:p w14:paraId="0F457062" w14:textId="77777777" w:rsidR="00E30B30" w:rsidRDefault="00E30B30" w:rsidP="00E30B30">
      <w:pPr>
        <w:rPr>
          <w:rFonts w:ascii="Cambria" w:hAnsi="Cambria" w:cs="Arial"/>
          <w:color w:val="000000"/>
          <w:sz w:val="16"/>
          <w:szCs w:val="16"/>
        </w:rPr>
      </w:pPr>
    </w:p>
    <w:p w14:paraId="75F521D6" w14:textId="77777777" w:rsidR="00E30B30" w:rsidRDefault="00E30B30" w:rsidP="00E30B30">
      <w:pPr>
        <w:rPr>
          <w:rFonts w:ascii="Cambria" w:hAnsi="Cambria" w:cs="Arial"/>
          <w:color w:val="000000"/>
          <w:sz w:val="16"/>
          <w:szCs w:val="16"/>
        </w:rPr>
      </w:pPr>
    </w:p>
    <w:p w14:paraId="581FFE76" w14:textId="77777777" w:rsidR="00E30B30" w:rsidRDefault="00E30B30" w:rsidP="00E30B30">
      <w:pPr>
        <w:rPr>
          <w:rFonts w:ascii="Cambria" w:hAnsi="Cambria" w:cs="Arial"/>
          <w:color w:val="000000"/>
          <w:sz w:val="16"/>
          <w:szCs w:val="16"/>
        </w:rPr>
      </w:pPr>
    </w:p>
    <w:p w14:paraId="50D71B4B" w14:textId="77777777" w:rsidR="00E30B30" w:rsidRPr="00C27844" w:rsidRDefault="00E30B30" w:rsidP="00E30B30">
      <w:pPr>
        <w:rPr>
          <w:rFonts w:ascii="Cambria" w:hAnsi="Cambria" w:cs="Arial"/>
          <w:color w:val="000000"/>
          <w:sz w:val="16"/>
          <w:szCs w:val="16"/>
        </w:rPr>
      </w:pPr>
    </w:p>
    <w:p w14:paraId="673EDAFE" w14:textId="77777777" w:rsidR="00E30B30" w:rsidRPr="00772FC5" w:rsidRDefault="00E30B30" w:rsidP="00772FC5">
      <w:pPr>
        <w:jc w:val="both"/>
        <w:rPr>
          <w:rFonts w:ascii="Cambria" w:hAnsi="Cambria"/>
          <w:color w:val="1F497D"/>
          <w:sz w:val="22"/>
          <w:szCs w:val="22"/>
        </w:rPr>
      </w:pPr>
      <w:r w:rsidRPr="00772FC5">
        <w:rPr>
          <w:rFonts w:ascii="Cambria" w:hAnsi="Cambria" w:cs="Arial"/>
          <w:color w:val="000000"/>
          <w:sz w:val="22"/>
          <w:szCs w:val="22"/>
        </w:rPr>
        <w:t xml:space="preserve">Au Mexique, le panel complet a été évalué en parcelles de 1.5 mètre linéaire (2 répétitions) en champ à la station du CIMMYT de Toluca sous inoculation artificielle avec un mélange des races Pollmer (2001) et Bicentenario (2016). Pour adapter aux conditions printemps mexicaines, </w:t>
      </w:r>
      <w:r w:rsidRPr="00772FC5">
        <w:rPr>
          <w:rFonts w:ascii="Cambria" w:hAnsi="Cambria"/>
          <w:sz w:val="22"/>
          <w:szCs w:val="22"/>
        </w:rPr>
        <w:t>les triticales Français ont été vernalisé</w:t>
      </w:r>
      <w:bookmarkEnd w:id="0"/>
      <w:r w:rsidRPr="00772FC5">
        <w:rPr>
          <w:rFonts w:ascii="Cambria" w:hAnsi="Cambria"/>
          <w:sz w:val="22"/>
          <w:szCs w:val="22"/>
        </w:rPr>
        <w:t>s 4 semaines et</w:t>
      </w:r>
      <w:r w:rsidRPr="00772FC5">
        <w:rPr>
          <w:rFonts w:ascii="Cambria" w:hAnsi="Cambria"/>
          <w:color w:val="1F497D"/>
          <w:sz w:val="22"/>
          <w:szCs w:val="22"/>
        </w:rPr>
        <w:t xml:space="preserve"> </w:t>
      </w:r>
      <w:r w:rsidRPr="00772FC5">
        <w:rPr>
          <w:rFonts w:ascii="Cambria" w:hAnsi="Cambria"/>
          <w:sz w:val="22"/>
          <w:szCs w:val="22"/>
        </w:rPr>
        <w:t>les seigles 6 semaines.</w:t>
      </w:r>
    </w:p>
    <w:p w14:paraId="71643ECD" w14:textId="625491A3" w:rsidR="00E30B30" w:rsidRDefault="00E30B30" w:rsidP="00E30B30">
      <w:pPr>
        <w:rPr>
          <w:color w:val="1F497D"/>
          <w:sz w:val="22"/>
          <w:szCs w:val="22"/>
        </w:rPr>
      </w:pPr>
    </w:p>
    <w:p w14:paraId="616400F1" w14:textId="161D37C2" w:rsidR="00E87119" w:rsidRDefault="001F651F" w:rsidP="00E30B30">
      <w:pPr>
        <w:rPr>
          <w:color w:val="1F497D"/>
          <w:sz w:val="22"/>
          <w:szCs w:val="22"/>
        </w:rPr>
      </w:pPr>
      <w:r>
        <w:rPr>
          <w:b/>
          <w:bCs/>
          <w:noProof/>
          <w:sz w:val="22"/>
        </w:rPr>
        <w:drawing>
          <wp:inline distT="0" distB="0" distL="0" distR="0" wp14:anchorId="0BEFD18B" wp14:editId="331A12F6">
            <wp:extent cx="2842186" cy="1708461"/>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812" cy="1737690"/>
                    </a:xfrm>
                    <a:prstGeom prst="rect">
                      <a:avLst/>
                    </a:prstGeom>
                    <a:noFill/>
                  </pic:spPr>
                </pic:pic>
              </a:graphicData>
            </a:graphic>
          </wp:inline>
        </w:drawing>
      </w:r>
      <w:r>
        <w:rPr>
          <w:noProof/>
          <w:color w:val="1F497D"/>
          <w:sz w:val="22"/>
          <w:szCs w:val="22"/>
        </w:rPr>
        <w:drawing>
          <wp:inline distT="0" distB="0" distL="0" distR="0" wp14:anchorId="155929B2" wp14:editId="2DD92EB9">
            <wp:extent cx="2887825" cy="1733816"/>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9963" cy="1735100"/>
                    </a:xfrm>
                    <a:prstGeom prst="rect">
                      <a:avLst/>
                    </a:prstGeom>
                    <a:noFill/>
                  </pic:spPr>
                </pic:pic>
              </a:graphicData>
            </a:graphic>
          </wp:inline>
        </w:drawing>
      </w:r>
    </w:p>
    <w:p w14:paraId="79F0BEB4" w14:textId="23D0E632" w:rsidR="001F651F" w:rsidRDefault="001F651F" w:rsidP="00E30B30">
      <w:pPr>
        <w:rPr>
          <w:color w:val="1F497D"/>
          <w:sz w:val="22"/>
          <w:szCs w:val="22"/>
        </w:rPr>
      </w:pPr>
    </w:p>
    <w:p w14:paraId="201BC7BC" w14:textId="64CA3A48" w:rsidR="001F651F" w:rsidRDefault="001F651F" w:rsidP="00E30B30">
      <w:pPr>
        <w:rPr>
          <w:color w:val="1F497D"/>
          <w:sz w:val="22"/>
          <w:szCs w:val="22"/>
        </w:rPr>
      </w:pPr>
    </w:p>
    <w:p w14:paraId="3D2AC4D5" w14:textId="2CCDEFB4" w:rsidR="001F651F" w:rsidRDefault="001F651F" w:rsidP="00E30B30">
      <w:pPr>
        <w:rPr>
          <w:color w:val="1F497D"/>
          <w:sz w:val="22"/>
          <w:szCs w:val="22"/>
        </w:rPr>
      </w:pPr>
    </w:p>
    <w:p w14:paraId="686509BA" w14:textId="430D057E" w:rsidR="001F651F" w:rsidRPr="001F651F" w:rsidRDefault="001F651F" w:rsidP="001F651F">
      <w:pPr>
        <w:pStyle w:val="Titre2CIR"/>
        <w:numPr>
          <w:ilvl w:val="0"/>
          <w:numId w:val="0"/>
        </w:numPr>
        <w:jc w:val="both"/>
        <w:rPr>
          <w:rFonts w:ascii="Cambria" w:hAnsi="Cambria"/>
          <w:b w:val="0"/>
          <w:bCs/>
          <w:sz w:val="22"/>
        </w:rPr>
      </w:pPr>
      <w:r w:rsidRPr="001F651F">
        <w:rPr>
          <w:rFonts w:ascii="Cambria" w:hAnsi="Cambria"/>
          <w:b w:val="0"/>
          <w:bCs/>
          <w:sz w:val="22"/>
        </w:rPr>
        <w:t xml:space="preserve">Trente génotypes sont notés résistants dans les 6 sites de phénotypage soit aux 4 races, W1, TRI15, Pollmer et Bicentenario. </w:t>
      </w:r>
      <w:r>
        <w:rPr>
          <w:rFonts w:ascii="Cambria" w:hAnsi="Cambria"/>
          <w:b w:val="0"/>
          <w:bCs/>
          <w:sz w:val="22"/>
        </w:rPr>
        <w:t>Il s’agit des</w:t>
      </w:r>
      <w:r w:rsidRPr="001F651F">
        <w:rPr>
          <w:rFonts w:ascii="Cambria" w:hAnsi="Cambria"/>
          <w:b w:val="0"/>
          <w:bCs/>
          <w:sz w:val="22"/>
        </w:rPr>
        <w:t xml:space="preserve"> triticales ADT03, ADT04, ADT05, ADT06, ADT07, AO06, FD06, FD08, LD01, LD02, LD03, LD11, LD16, LD18, LD23, Lumaco, RA06, Triskell, Cimmyt067 et Cimmyt100.</w:t>
      </w:r>
      <w:r>
        <w:rPr>
          <w:rFonts w:ascii="Cambria" w:hAnsi="Cambria"/>
          <w:b w:val="0"/>
          <w:bCs/>
          <w:sz w:val="22"/>
        </w:rPr>
        <w:t>, les 10 autres</w:t>
      </w:r>
      <w:r w:rsidRPr="001F651F">
        <w:rPr>
          <w:rFonts w:ascii="Cambria" w:hAnsi="Cambria"/>
          <w:b w:val="0"/>
          <w:bCs/>
          <w:sz w:val="22"/>
        </w:rPr>
        <w:t xml:space="preserve"> sont des seigles, </w:t>
      </w:r>
    </w:p>
    <w:p w14:paraId="73719B70" w14:textId="77777777" w:rsidR="001F651F" w:rsidRPr="00C27844" w:rsidRDefault="001F651F" w:rsidP="00E30B30">
      <w:pPr>
        <w:rPr>
          <w:color w:val="1F497D"/>
          <w:sz w:val="22"/>
          <w:szCs w:val="22"/>
        </w:rPr>
      </w:pPr>
    </w:p>
    <w:p w14:paraId="2DCA3A55" w14:textId="77777777" w:rsidR="00E30B30" w:rsidRPr="00C2603D" w:rsidRDefault="00E30B30" w:rsidP="00E30B30">
      <w:pPr>
        <w:pStyle w:val="Titre1"/>
        <w:numPr>
          <w:ilvl w:val="0"/>
          <w:numId w:val="7"/>
        </w:numPr>
        <w:tabs>
          <w:tab w:val="num" w:pos="360"/>
          <w:tab w:val="num" w:pos="786"/>
        </w:tabs>
        <w:ind w:left="142" w:firstLine="0"/>
        <w:rPr>
          <w:rFonts w:ascii="Cambria" w:hAnsi="Cambria"/>
          <w:i/>
          <w:sz w:val="22"/>
          <w:szCs w:val="22"/>
          <w:u w:val="single"/>
        </w:rPr>
      </w:pPr>
      <w:r>
        <w:rPr>
          <w:rFonts w:ascii="Cambria" w:hAnsi="Cambria"/>
          <w:sz w:val="22"/>
          <w:szCs w:val="22"/>
          <w:u w:val="single"/>
        </w:rPr>
        <w:t xml:space="preserve"> </w:t>
      </w:r>
      <w:r w:rsidRPr="00C2603D">
        <w:rPr>
          <w:rFonts w:ascii="Cambria" w:hAnsi="Cambria"/>
          <w:sz w:val="22"/>
          <w:szCs w:val="22"/>
          <w:u w:val="single"/>
        </w:rPr>
        <w:t xml:space="preserve">Comparaison de la population de </w:t>
      </w:r>
      <w:r w:rsidRPr="00C2603D">
        <w:rPr>
          <w:rFonts w:ascii="Cambria" w:hAnsi="Cambria"/>
          <w:i/>
          <w:iCs/>
          <w:sz w:val="22"/>
          <w:szCs w:val="22"/>
          <w:u w:val="single"/>
        </w:rPr>
        <w:t>Puccinia striiformis</w:t>
      </w:r>
      <w:r w:rsidRPr="00C2603D">
        <w:rPr>
          <w:rFonts w:ascii="Cambria" w:hAnsi="Cambria"/>
          <w:sz w:val="22"/>
          <w:szCs w:val="22"/>
          <w:u w:val="single"/>
        </w:rPr>
        <w:t xml:space="preserve"> </w:t>
      </w:r>
      <w:r w:rsidRPr="00C2603D">
        <w:rPr>
          <w:rFonts w:ascii="Cambria" w:hAnsi="Cambria"/>
          <w:iCs/>
          <w:sz w:val="22"/>
          <w:szCs w:val="22"/>
          <w:u w:val="single"/>
        </w:rPr>
        <w:t>en France et au Mexique</w:t>
      </w:r>
      <w:r w:rsidRPr="00C2603D">
        <w:rPr>
          <w:rFonts w:ascii="Cambria" w:hAnsi="Cambria"/>
          <w:i/>
          <w:sz w:val="22"/>
          <w:szCs w:val="22"/>
          <w:u w:val="single"/>
        </w:rPr>
        <w:t xml:space="preserve"> </w:t>
      </w:r>
      <w:r w:rsidRPr="00C2603D">
        <w:rPr>
          <w:rFonts w:ascii="Cambria" w:hAnsi="Cambria"/>
          <w:b w:val="0"/>
          <w:bCs/>
          <w:iCs/>
          <w:sz w:val="22"/>
          <w:szCs w:val="22"/>
        </w:rPr>
        <w:t>(CIMMYT)</w:t>
      </w:r>
    </w:p>
    <w:p w14:paraId="422C8C18" w14:textId="77777777" w:rsidR="00E30B30" w:rsidRPr="00C2603D" w:rsidRDefault="00E30B30" w:rsidP="00772FC5">
      <w:pPr>
        <w:jc w:val="both"/>
        <w:rPr>
          <w:rFonts w:ascii="Cambria" w:hAnsi="Cambria" w:cs="Arial"/>
          <w:color w:val="000000"/>
          <w:sz w:val="22"/>
          <w:szCs w:val="22"/>
        </w:rPr>
      </w:pPr>
      <w:r w:rsidRPr="00C2603D">
        <w:rPr>
          <w:rFonts w:ascii="Cambria" w:hAnsi="Cambria" w:cs="Arial"/>
          <w:color w:val="000000"/>
          <w:sz w:val="22"/>
          <w:szCs w:val="22"/>
        </w:rPr>
        <w:t xml:space="preserve">But : Déterminer si la population de </w:t>
      </w:r>
      <w:r w:rsidRPr="00C2603D">
        <w:rPr>
          <w:rFonts w:ascii="Cambria" w:hAnsi="Cambria" w:cs="Arial"/>
          <w:i/>
          <w:color w:val="000000"/>
          <w:sz w:val="22"/>
          <w:szCs w:val="22"/>
        </w:rPr>
        <w:t>P. striiformis</w:t>
      </w:r>
      <w:r w:rsidRPr="00C2603D">
        <w:rPr>
          <w:rFonts w:ascii="Cambria" w:hAnsi="Cambria" w:cs="Arial"/>
          <w:color w:val="000000"/>
          <w:sz w:val="22"/>
          <w:szCs w:val="22"/>
        </w:rPr>
        <w:t xml:space="preserve"> inféodée au triticale en France de 2011 à 2019 se distingue de celle observée au Mexique permettra de prévoir si le QTL6R de résistance à la rouille jaune peut être utilisé au Mexique et si les sélectionneurs français peuvent utiliser avec succès les sources de résistance du matériel CIMMYT. </w:t>
      </w:r>
    </w:p>
    <w:p w14:paraId="2FAADB1C" w14:textId="22F1D5DA" w:rsidR="00E30B30" w:rsidRPr="00772FC5" w:rsidRDefault="00E30B30" w:rsidP="00772FC5">
      <w:pPr>
        <w:jc w:val="both"/>
        <w:rPr>
          <w:rFonts w:ascii="Cambria" w:hAnsi="Cambria" w:cs="Arial"/>
          <w:color w:val="000000"/>
          <w:sz w:val="22"/>
          <w:szCs w:val="22"/>
        </w:rPr>
      </w:pPr>
      <w:r w:rsidRPr="00C2603D">
        <w:rPr>
          <w:rFonts w:ascii="Cambria" w:hAnsi="Cambria" w:cs="Arial"/>
          <w:color w:val="000000"/>
          <w:sz w:val="22"/>
          <w:szCs w:val="22"/>
        </w:rPr>
        <w:t>En France, la race T</w:t>
      </w:r>
      <w:r>
        <w:rPr>
          <w:rFonts w:ascii="Cambria" w:hAnsi="Cambria" w:cs="Arial"/>
          <w:color w:val="000000"/>
          <w:sz w:val="22"/>
          <w:szCs w:val="22"/>
        </w:rPr>
        <w:t>ri20</w:t>
      </w:r>
      <w:r w:rsidRPr="00C2603D">
        <w:rPr>
          <w:rFonts w:ascii="Cambria" w:hAnsi="Cambria" w:cs="Arial"/>
          <w:color w:val="000000"/>
          <w:sz w:val="22"/>
          <w:szCs w:val="22"/>
        </w:rPr>
        <w:t>15 prévalait en 2017 et 2018 et seuls quelques isolats de Warrior - ont été détectés les deux années et de Warrior1 en 2017.</w:t>
      </w:r>
    </w:p>
    <w:p w14:paraId="48A499BD" w14:textId="2EBA02C9" w:rsidR="00E30B30" w:rsidRPr="00371258" w:rsidRDefault="00E30B30" w:rsidP="00772FC5">
      <w:pPr>
        <w:jc w:val="both"/>
        <w:rPr>
          <w:rFonts w:ascii="Cambria" w:hAnsi="Cambria" w:cs="Arial"/>
          <w:color w:val="000000"/>
          <w:sz w:val="22"/>
          <w:szCs w:val="22"/>
        </w:rPr>
      </w:pPr>
      <w:r w:rsidRPr="00C2603D">
        <w:rPr>
          <w:rFonts w:ascii="Cambria" w:hAnsi="Cambria" w:cs="Arial"/>
          <w:color w:val="000000"/>
          <w:sz w:val="22"/>
          <w:szCs w:val="22"/>
        </w:rPr>
        <w:t xml:space="preserve">Comme aucun panel de races différentielles de triticale n’existe, </w:t>
      </w:r>
      <w:r>
        <w:rPr>
          <w:rFonts w:ascii="Cambria" w:hAnsi="Cambria" w:cs="Arial"/>
          <w:color w:val="000000"/>
          <w:sz w:val="22"/>
          <w:szCs w:val="22"/>
        </w:rPr>
        <w:t>l</w:t>
      </w:r>
      <w:r w:rsidRPr="00C2603D">
        <w:rPr>
          <w:rFonts w:ascii="Cambria" w:hAnsi="Cambria" w:cs="Arial"/>
          <w:color w:val="000000"/>
          <w:sz w:val="22"/>
          <w:szCs w:val="22"/>
        </w:rPr>
        <w:t xml:space="preserve">es races de </w:t>
      </w:r>
      <w:r w:rsidRPr="00C2603D">
        <w:rPr>
          <w:rFonts w:ascii="Cambria" w:hAnsi="Cambria" w:cs="Arial"/>
          <w:i/>
          <w:color w:val="000000"/>
          <w:sz w:val="22"/>
          <w:szCs w:val="22"/>
        </w:rPr>
        <w:t>P. striiformis</w:t>
      </w:r>
      <w:r w:rsidRPr="00C2603D">
        <w:rPr>
          <w:rFonts w:ascii="Cambria" w:hAnsi="Cambria" w:cs="Arial"/>
          <w:color w:val="000000"/>
          <w:sz w:val="22"/>
          <w:szCs w:val="22"/>
        </w:rPr>
        <w:t xml:space="preserve"> (races « Pollmer (2001) » et « Bicentenario (2016) ») présentes </w:t>
      </w:r>
      <w:r>
        <w:rPr>
          <w:rFonts w:ascii="Cambria" w:hAnsi="Cambria" w:cs="Arial"/>
          <w:color w:val="000000"/>
          <w:sz w:val="22"/>
          <w:szCs w:val="22"/>
        </w:rPr>
        <w:t>au Mexique</w:t>
      </w:r>
      <w:r w:rsidRPr="00C2603D">
        <w:rPr>
          <w:rFonts w:ascii="Cambria" w:hAnsi="Cambria" w:cs="Arial"/>
          <w:color w:val="000000"/>
          <w:sz w:val="22"/>
          <w:szCs w:val="22"/>
        </w:rPr>
        <w:t xml:space="preserve"> </w:t>
      </w:r>
      <w:r>
        <w:rPr>
          <w:rFonts w:ascii="Cambria" w:hAnsi="Cambria" w:cs="Arial"/>
          <w:color w:val="000000"/>
          <w:sz w:val="22"/>
          <w:szCs w:val="22"/>
        </w:rPr>
        <w:t xml:space="preserve">seront </w:t>
      </w:r>
      <w:r w:rsidRPr="00C2603D">
        <w:rPr>
          <w:rFonts w:ascii="Cambria" w:hAnsi="Cambria" w:cs="Arial"/>
          <w:color w:val="000000"/>
          <w:sz w:val="22"/>
          <w:szCs w:val="22"/>
        </w:rPr>
        <w:t>testées sur la gamme française d’hôtes différentiels de blé aussi bien en serre au stade juvénile qu’en champ au stade adulte au Mexique</w:t>
      </w:r>
      <w:r w:rsidRPr="00C2603D">
        <w:rPr>
          <w:rFonts w:ascii="Cambria" w:hAnsi="Cambria" w:cs="Arial"/>
          <w:sz w:val="22"/>
          <w:szCs w:val="22"/>
        </w:rPr>
        <w:t>.</w:t>
      </w:r>
      <w:r w:rsidRPr="00C2603D">
        <w:rPr>
          <w:rFonts w:ascii="Cambria" w:hAnsi="Cambria" w:cs="Arial"/>
          <w:color w:val="000000"/>
          <w:sz w:val="22"/>
          <w:szCs w:val="22"/>
        </w:rPr>
        <w:t xml:space="preserve"> </w:t>
      </w:r>
      <w:r w:rsidR="00772FC5">
        <w:rPr>
          <w:rFonts w:ascii="Cambria" w:hAnsi="Cambria" w:cs="Arial"/>
          <w:color w:val="000000"/>
          <w:sz w:val="22"/>
          <w:szCs w:val="22"/>
        </w:rPr>
        <w:t>La gamme d’hôte différentiels de blé a été transmises au CIMMYT.</w:t>
      </w:r>
    </w:p>
    <w:p w14:paraId="6DAAB5F5" w14:textId="4D006060" w:rsidR="00E30B30" w:rsidRDefault="00E30B30" w:rsidP="00E30B30">
      <w:pPr>
        <w:jc w:val="center"/>
        <w:rPr>
          <w:rFonts w:cs="Arial"/>
          <w:color w:val="FF0000"/>
        </w:rPr>
      </w:pPr>
      <w:r w:rsidRPr="00CE7DCF">
        <w:rPr>
          <w:noProof/>
        </w:rPr>
        <w:lastRenderedPageBreak/>
        <w:drawing>
          <wp:inline distT="0" distB="0" distL="0" distR="0" wp14:anchorId="29B38039" wp14:editId="66AE6FB5">
            <wp:extent cx="2087880" cy="3480435"/>
            <wp:effectExtent l="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4" cstate="print">
                      <a:extLst>
                        <a:ext uri="{28A0092B-C50C-407E-A947-70E740481C1C}">
                          <a14:useLocalDpi xmlns:a14="http://schemas.microsoft.com/office/drawing/2010/main" val="0"/>
                        </a:ext>
                      </a:extLst>
                    </a:blip>
                    <a:srcRect l="29652" r="28468" b="4137"/>
                    <a:stretch>
                      <a:fillRect/>
                    </a:stretch>
                  </pic:blipFill>
                  <pic:spPr bwMode="auto">
                    <a:xfrm>
                      <a:off x="0" y="0"/>
                      <a:ext cx="2087880" cy="3480435"/>
                    </a:xfrm>
                    <a:prstGeom prst="rect">
                      <a:avLst/>
                    </a:prstGeom>
                    <a:noFill/>
                    <a:ln>
                      <a:noFill/>
                    </a:ln>
                  </pic:spPr>
                </pic:pic>
              </a:graphicData>
            </a:graphic>
          </wp:inline>
        </w:drawing>
      </w:r>
    </w:p>
    <w:p w14:paraId="49137116" w14:textId="77777777" w:rsidR="00E30B30" w:rsidRDefault="00E30B30" w:rsidP="00E30B30">
      <w:pPr>
        <w:rPr>
          <w:rFonts w:ascii="Cambria" w:hAnsi="Cambria" w:cs="Arial"/>
          <w:b/>
          <w:bCs/>
          <w:sz w:val="22"/>
          <w:szCs w:val="22"/>
          <w:u w:val="single"/>
        </w:rPr>
      </w:pPr>
    </w:p>
    <w:p w14:paraId="4FD5395F" w14:textId="77777777" w:rsidR="00E30B30" w:rsidRDefault="00E30B30" w:rsidP="00E30B30">
      <w:pPr>
        <w:rPr>
          <w:rFonts w:ascii="Cambria" w:hAnsi="Cambria" w:cs="Arial"/>
          <w:b/>
          <w:bCs/>
          <w:sz w:val="22"/>
          <w:szCs w:val="22"/>
          <w:u w:val="single"/>
        </w:rPr>
      </w:pPr>
    </w:p>
    <w:p w14:paraId="4206D8EA" w14:textId="77777777" w:rsidR="00E30B30" w:rsidRPr="00C2603D" w:rsidRDefault="00E30B30" w:rsidP="00E30B30">
      <w:pPr>
        <w:rPr>
          <w:rFonts w:ascii="Cambria" w:hAnsi="Cambria" w:cs="Arial"/>
          <w:b/>
          <w:bCs/>
          <w:sz w:val="22"/>
          <w:szCs w:val="22"/>
          <w:u w:val="single"/>
        </w:rPr>
      </w:pPr>
      <w:r w:rsidRPr="00C2603D">
        <w:rPr>
          <w:rFonts w:ascii="Cambria" w:hAnsi="Cambria" w:cs="Arial"/>
          <w:b/>
          <w:bCs/>
          <w:sz w:val="22"/>
          <w:szCs w:val="22"/>
          <w:u w:val="single"/>
        </w:rPr>
        <w:t>Prévision travaux année 2</w:t>
      </w:r>
    </w:p>
    <w:p w14:paraId="79479688" w14:textId="77777777" w:rsidR="00E87119" w:rsidRDefault="00E87119" w:rsidP="00E87119">
      <w:pPr>
        <w:pStyle w:val="Titre2"/>
        <w:numPr>
          <w:ilvl w:val="0"/>
          <w:numId w:val="0"/>
        </w:numPr>
        <w:spacing w:before="0" w:line="240" w:lineRule="auto"/>
        <w:rPr>
          <w:rFonts w:ascii="Cambria" w:hAnsi="Cambria"/>
          <w:sz w:val="22"/>
          <w:szCs w:val="22"/>
        </w:rPr>
      </w:pPr>
    </w:p>
    <w:p w14:paraId="233A86C0" w14:textId="64CF2191" w:rsidR="00E30B30" w:rsidRPr="00E87119" w:rsidRDefault="00E30B30" w:rsidP="00E87119">
      <w:pPr>
        <w:pStyle w:val="Titre2"/>
        <w:numPr>
          <w:ilvl w:val="0"/>
          <w:numId w:val="0"/>
        </w:numPr>
        <w:spacing w:before="0" w:line="240" w:lineRule="auto"/>
        <w:rPr>
          <w:rFonts w:ascii="Cambria" w:hAnsi="Cambria"/>
          <w:b w:val="0"/>
          <w:bCs/>
          <w:sz w:val="22"/>
          <w:szCs w:val="22"/>
          <w:u w:val="single"/>
        </w:rPr>
      </w:pPr>
      <w:r w:rsidRPr="00E87119">
        <w:rPr>
          <w:rFonts w:ascii="Cambria" w:hAnsi="Cambria"/>
          <w:b w:val="0"/>
          <w:bCs/>
          <w:sz w:val="22"/>
          <w:szCs w:val="22"/>
          <w:u w:val="single"/>
        </w:rPr>
        <w:t xml:space="preserve">Multiplication des familles G2 </w:t>
      </w:r>
      <w:r w:rsidR="00E87119" w:rsidRPr="00E87119">
        <w:rPr>
          <w:rFonts w:ascii="Cambria" w:hAnsi="Cambria"/>
          <w:b w:val="0"/>
          <w:bCs/>
          <w:sz w:val="22"/>
          <w:szCs w:val="22"/>
          <w:u w:val="single"/>
        </w:rPr>
        <w:t>pour la cartographie fine du QTL6R</w:t>
      </w:r>
    </w:p>
    <w:p w14:paraId="17503910" w14:textId="77777777" w:rsidR="00E30B30" w:rsidRDefault="00E30B30" w:rsidP="00E87119">
      <w:pPr>
        <w:pStyle w:val="Commentaire"/>
        <w:jc w:val="both"/>
        <w:rPr>
          <w:rFonts w:ascii="Cambria" w:hAnsi="Cambria" w:cs="Arial"/>
          <w:sz w:val="22"/>
          <w:szCs w:val="22"/>
        </w:rPr>
      </w:pPr>
      <w:r w:rsidRPr="00C2603D">
        <w:rPr>
          <w:rFonts w:ascii="Cambria" w:hAnsi="Cambria" w:cs="Arial"/>
          <w:sz w:val="22"/>
          <w:szCs w:val="22"/>
        </w:rPr>
        <w:t xml:space="preserve">Les grains issus des autofécondations des recombinants G1, sélectionnés </w:t>
      </w:r>
      <w:r>
        <w:rPr>
          <w:rFonts w:ascii="Cambria" w:hAnsi="Cambria" w:cs="Arial"/>
          <w:sz w:val="22"/>
          <w:szCs w:val="22"/>
        </w:rPr>
        <w:t>cette</w:t>
      </w:r>
      <w:r w:rsidRPr="00C2603D">
        <w:rPr>
          <w:rFonts w:ascii="Cambria" w:hAnsi="Cambria" w:cs="Arial"/>
          <w:sz w:val="22"/>
          <w:szCs w:val="22"/>
        </w:rPr>
        <w:t xml:space="preserve"> année 1, </w:t>
      </w:r>
      <w:r>
        <w:rPr>
          <w:rFonts w:ascii="Cambria" w:hAnsi="Cambria" w:cs="Arial"/>
          <w:sz w:val="22"/>
          <w:szCs w:val="22"/>
        </w:rPr>
        <w:t>s</w:t>
      </w:r>
      <w:r w:rsidRPr="00C2603D">
        <w:rPr>
          <w:rFonts w:ascii="Cambria" w:hAnsi="Cambria" w:cs="Arial"/>
          <w:sz w:val="22"/>
          <w:szCs w:val="22"/>
        </w:rPr>
        <w:t xml:space="preserve">eront partagés entre </w:t>
      </w:r>
      <w:r>
        <w:rPr>
          <w:rFonts w:ascii="Cambria" w:hAnsi="Cambria" w:cs="Arial"/>
          <w:sz w:val="22"/>
          <w:szCs w:val="22"/>
        </w:rPr>
        <w:t xml:space="preserve">les </w:t>
      </w:r>
      <w:r w:rsidRPr="00C2603D">
        <w:rPr>
          <w:rFonts w:ascii="Cambria" w:hAnsi="Cambria" w:cs="Arial"/>
          <w:sz w:val="22"/>
          <w:szCs w:val="22"/>
        </w:rPr>
        <w:t>2 membres du GIE</w:t>
      </w:r>
      <w:r>
        <w:rPr>
          <w:rFonts w:ascii="Cambria" w:hAnsi="Cambria" w:cs="Arial"/>
          <w:sz w:val="22"/>
          <w:szCs w:val="22"/>
        </w:rPr>
        <w:t xml:space="preserve">, </w:t>
      </w:r>
      <w:r w:rsidRPr="00C2603D">
        <w:rPr>
          <w:rFonts w:ascii="Cambria" w:hAnsi="Cambria" w:cs="Arial"/>
          <w:sz w:val="22"/>
          <w:szCs w:val="22"/>
        </w:rPr>
        <w:t>FD et RAGT</w:t>
      </w:r>
      <w:r>
        <w:rPr>
          <w:rFonts w:ascii="Cambria" w:hAnsi="Cambria" w:cs="Arial"/>
          <w:sz w:val="22"/>
          <w:szCs w:val="22"/>
        </w:rPr>
        <w:t>,</w:t>
      </w:r>
      <w:r w:rsidRPr="00C2603D">
        <w:rPr>
          <w:rFonts w:ascii="Cambria" w:hAnsi="Cambria" w:cs="Arial"/>
          <w:sz w:val="22"/>
          <w:szCs w:val="22"/>
        </w:rPr>
        <w:t xml:space="preserve"> pour </w:t>
      </w:r>
      <w:r>
        <w:rPr>
          <w:rFonts w:ascii="Cambria" w:hAnsi="Cambria" w:cs="Arial"/>
          <w:sz w:val="22"/>
          <w:szCs w:val="22"/>
        </w:rPr>
        <w:t xml:space="preserve">re-multiplication et </w:t>
      </w:r>
      <w:r w:rsidRPr="00C2603D">
        <w:rPr>
          <w:rFonts w:ascii="Cambria" w:hAnsi="Cambria" w:cs="Arial"/>
          <w:sz w:val="22"/>
          <w:szCs w:val="22"/>
        </w:rPr>
        <w:t xml:space="preserve">phénotypage des familles G2 en inoculations contrôlées en 2 lieux en France. Les semis seront réalisés en pépinière, avec 2 répétitions de 2 lignes de 30 grains pour chaque famille G2. </w:t>
      </w:r>
      <w:r>
        <w:rPr>
          <w:rFonts w:ascii="Cambria" w:hAnsi="Cambria" w:cs="Arial"/>
          <w:sz w:val="22"/>
          <w:szCs w:val="22"/>
        </w:rPr>
        <w:t>Un prélèvement de feuilles sera réalisé afin que le génotypage puisse être réalisé sur la même génération que le phénotypage en année 3.</w:t>
      </w:r>
    </w:p>
    <w:p w14:paraId="7BA9CEF6" w14:textId="77777777" w:rsidR="00E30B30" w:rsidRPr="00295A64" w:rsidRDefault="00E30B30" w:rsidP="00E30B30">
      <w:pPr>
        <w:pStyle w:val="Commentaire"/>
        <w:spacing w:after="0"/>
        <w:rPr>
          <w:rFonts w:ascii="Cambria" w:hAnsi="Cambria" w:cs="Arial"/>
          <w:i/>
          <w:iCs/>
          <w:sz w:val="22"/>
          <w:szCs w:val="22"/>
          <w:u w:val="single"/>
        </w:rPr>
      </w:pPr>
      <w:r w:rsidRPr="00295A64">
        <w:rPr>
          <w:rFonts w:ascii="Cambria" w:hAnsi="Cambria" w:cs="Arial"/>
          <w:i/>
          <w:iCs/>
          <w:sz w:val="22"/>
          <w:szCs w:val="22"/>
          <w:u w:val="single"/>
        </w:rPr>
        <w:t>GWAS panel franco-Mexicain</w:t>
      </w:r>
    </w:p>
    <w:p w14:paraId="3C759D64" w14:textId="77777777" w:rsidR="00E30B30" w:rsidRPr="005E44BE" w:rsidRDefault="00E30B30" w:rsidP="00E87119">
      <w:pPr>
        <w:jc w:val="both"/>
        <w:rPr>
          <w:rFonts w:ascii="Cambria" w:hAnsi="Cambria" w:cs="Arial"/>
          <w:sz w:val="22"/>
          <w:szCs w:val="22"/>
        </w:rPr>
      </w:pPr>
      <w:r w:rsidRPr="005E44BE">
        <w:rPr>
          <w:rFonts w:ascii="Cambria" w:hAnsi="Cambria" w:cs="Arial"/>
          <w:sz w:val="22"/>
          <w:szCs w:val="22"/>
        </w:rPr>
        <w:t xml:space="preserve">ARVALIS et INRAE réaliseront le phénotypage </w:t>
      </w:r>
      <w:r>
        <w:rPr>
          <w:rFonts w:ascii="Cambria" w:hAnsi="Cambria" w:cs="Arial"/>
          <w:sz w:val="22"/>
          <w:szCs w:val="22"/>
        </w:rPr>
        <w:t xml:space="preserve">des 250 génotypes </w:t>
      </w:r>
      <w:r w:rsidRPr="005E44BE">
        <w:rPr>
          <w:rFonts w:ascii="Cambria" w:hAnsi="Cambria" w:cs="Arial"/>
          <w:sz w:val="22"/>
          <w:szCs w:val="22"/>
        </w:rPr>
        <w:t xml:space="preserve">sur 3 essais en Bretagne, Ile de France et Auvergne, avec des lignées contaminatrices disposées régulièrement. Les contaminateurs seront inoculés avec une race de rouille jaune virulente sur triticale chez ARVALIS et seront laissés en contamination naturelle chez INRAE. Le choix de la race sera discuté entre les partenaires du projet. La pression naturelle sera très probablement plus importante sur l’essai situé en Bretagne. Cela permettra de vérifier le niveau de résistance des variétés du panel vis-à-vis des races naturellement présentes cette année-là. </w:t>
      </w:r>
    </w:p>
    <w:p w14:paraId="0723E012" w14:textId="77777777" w:rsidR="00E30B30" w:rsidRPr="00C2603D" w:rsidRDefault="00E30B30" w:rsidP="00E87119">
      <w:pPr>
        <w:pStyle w:val="Commentaire"/>
        <w:jc w:val="both"/>
        <w:rPr>
          <w:rFonts w:ascii="Cambria" w:hAnsi="Cambria" w:cs="Arial"/>
          <w:sz w:val="22"/>
          <w:szCs w:val="22"/>
        </w:rPr>
      </w:pPr>
      <w:r>
        <w:rPr>
          <w:rFonts w:ascii="Cambria" w:hAnsi="Cambria" w:cs="Arial"/>
          <w:sz w:val="22"/>
          <w:szCs w:val="22"/>
        </w:rPr>
        <w:t>Arvalis réalisera un prélèvement de feuilles sur le panel qui seront envoyé à TraitsGenetic pour génotypage avec la puce 30K blé-seigle.</w:t>
      </w:r>
    </w:p>
    <w:p w14:paraId="2D4B2C2E" w14:textId="16CB13ED" w:rsidR="00E87119" w:rsidRPr="00E87119" w:rsidRDefault="00E87119" w:rsidP="00E87119">
      <w:pPr>
        <w:rPr>
          <w:rFonts w:ascii="Cambria" w:hAnsi="Cambria" w:cs="Arial"/>
          <w:i/>
          <w:iCs/>
          <w:sz w:val="22"/>
          <w:szCs w:val="22"/>
          <w:u w:val="single"/>
        </w:rPr>
      </w:pPr>
      <w:r w:rsidRPr="00E87119">
        <w:rPr>
          <w:rFonts w:ascii="Cambria" w:hAnsi="Cambria" w:cs="Arial"/>
          <w:i/>
          <w:iCs/>
          <w:sz w:val="22"/>
          <w:szCs w:val="22"/>
          <w:u w:val="single"/>
        </w:rPr>
        <w:t xml:space="preserve">Caractérisation de l’effet du QTL6R au stade juvénile </w:t>
      </w:r>
      <w:r>
        <w:rPr>
          <w:rFonts w:ascii="Cambria" w:hAnsi="Cambria" w:cs="Arial"/>
          <w:i/>
          <w:iCs/>
          <w:sz w:val="22"/>
          <w:szCs w:val="22"/>
          <w:u w:val="single"/>
        </w:rPr>
        <w:t>et test de la gamme d’hote différentiels de blé</w:t>
      </w:r>
    </w:p>
    <w:p w14:paraId="0657C4BF" w14:textId="613F8200" w:rsidR="00E30B30" w:rsidRPr="00E87119" w:rsidRDefault="00E87119" w:rsidP="00E87119">
      <w:pPr>
        <w:jc w:val="both"/>
        <w:rPr>
          <w:rFonts w:ascii="Cambria" w:hAnsi="Cambria" w:cs="Arial"/>
          <w:sz w:val="22"/>
          <w:szCs w:val="22"/>
        </w:rPr>
      </w:pPr>
      <w:r w:rsidRPr="00E87119">
        <w:rPr>
          <w:rFonts w:ascii="Cambria" w:hAnsi="Cambria" w:cs="Arial"/>
          <w:sz w:val="22"/>
          <w:szCs w:val="22"/>
        </w:rPr>
        <w:t xml:space="preserve">La résistance à la rouille jaune de quelques individus résistants au stade adulte des 4 populations du projet précédent sera évaluée au stade juvénile en conditions contrôlées en serre </w:t>
      </w:r>
      <w:r>
        <w:rPr>
          <w:rFonts w:ascii="Cambria" w:hAnsi="Cambria" w:cs="Arial"/>
          <w:sz w:val="22"/>
          <w:szCs w:val="22"/>
        </w:rPr>
        <w:t xml:space="preserve">avec les races Pollmer et Bicentenario </w:t>
      </w:r>
      <w:r w:rsidRPr="00E87119">
        <w:rPr>
          <w:rFonts w:ascii="Cambria" w:hAnsi="Cambria" w:cs="Arial"/>
          <w:sz w:val="22"/>
          <w:szCs w:val="22"/>
        </w:rPr>
        <w:t>au Mexique ainsi que sur champ au stade adulte</w:t>
      </w:r>
      <w:r>
        <w:rPr>
          <w:rFonts w:ascii="Cambria" w:hAnsi="Cambria" w:cs="Arial"/>
          <w:sz w:val="22"/>
          <w:szCs w:val="22"/>
        </w:rPr>
        <w:t>.</w:t>
      </w:r>
    </w:p>
    <w:p w14:paraId="70237B52" w14:textId="77777777" w:rsidR="00E30B30" w:rsidRDefault="00E30B30" w:rsidP="00E30B30">
      <w:pPr>
        <w:rPr>
          <w:rFonts w:cs="Arial"/>
          <w:color w:val="FF0000"/>
        </w:rPr>
      </w:pPr>
    </w:p>
    <w:p w14:paraId="1C3EF1E0" w14:textId="77777777" w:rsidR="00E30B30" w:rsidRPr="007959A2" w:rsidRDefault="00E30B30" w:rsidP="00E30B30">
      <w:pPr>
        <w:rPr>
          <w:rFonts w:ascii="Cambria" w:hAnsi="Cambria" w:cs="Arial"/>
          <w:sz w:val="22"/>
          <w:szCs w:val="22"/>
          <w:u w:val="single"/>
          <w:lang w:val="en-US"/>
        </w:rPr>
      </w:pPr>
      <w:r w:rsidRPr="007959A2">
        <w:rPr>
          <w:rFonts w:ascii="Cambria" w:hAnsi="Cambria" w:cs="Arial"/>
          <w:sz w:val="22"/>
          <w:szCs w:val="22"/>
          <w:u w:val="single"/>
          <w:lang w:val="en-US"/>
        </w:rPr>
        <w:t xml:space="preserve">Références </w:t>
      </w:r>
    </w:p>
    <w:p w14:paraId="35D1E63B" w14:textId="77777777" w:rsidR="00E30B30" w:rsidRPr="00C54D3E" w:rsidRDefault="00E30B30" w:rsidP="00E30B30">
      <w:pPr>
        <w:rPr>
          <w:rFonts w:ascii="Cambria" w:hAnsi="Cambria" w:cs="Arial"/>
          <w:sz w:val="18"/>
          <w:szCs w:val="18"/>
          <w:lang w:val="en-US"/>
        </w:rPr>
      </w:pPr>
      <w:r w:rsidRPr="00C54D3E">
        <w:rPr>
          <w:rFonts w:ascii="Cambria" w:hAnsi="Cambria" w:cs="Arial"/>
          <w:sz w:val="18"/>
          <w:szCs w:val="18"/>
          <w:lang w:val="en-US"/>
        </w:rPr>
        <w:t xml:space="preserve">Bauer </w:t>
      </w:r>
      <w:r>
        <w:rPr>
          <w:rFonts w:ascii="Cambria" w:hAnsi="Cambria" w:cs="Arial"/>
          <w:sz w:val="18"/>
          <w:szCs w:val="18"/>
          <w:lang w:val="en-US"/>
        </w:rPr>
        <w:t xml:space="preserve">E, </w:t>
      </w:r>
      <w:r w:rsidRPr="00C54D3E">
        <w:rPr>
          <w:rFonts w:ascii="Cambria" w:hAnsi="Cambria" w:cs="Arial"/>
          <w:sz w:val="18"/>
          <w:szCs w:val="18"/>
          <w:lang w:val="en-US"/>
        </w:rPr>
        <w:t>Schmutzer</w:t>
      </w:r>
      <w:r>
        <w:rPr>
          <w:rFonts w:ascii="Cambria" w:hAnsi="Cambria" w:cs="Arial"/>
          <w:sz w:val="18"/>
          <w:szCs w:val="18"/>
          <w:lang w:val="en-US"/>
        </w:rPr>
        <w:t xml:space="preserve"> T, </w:t>
      </w:r>
      <w:r w:rsidRPr="00C54D3E">
        <w:rPr>
          <w:rFonts w:ascii="Cambria" w:hAnsi="Cambria" w:cs="Arial"/>
          <w:sz w:val="18"/>
          <w:szCs w:val="18"/>
          <w:lang w:val="en-US"/>
        </w:rPr>
        <w:t>Barilar3</w:t>
      </w:r>
      <w:r>
        <w:rPr>
          <w:rFonts w:ascii="Cambria" w:hAnsi="Cambria" w:cs="Arial"/>
          <w:sz w:val="18"/>
          <w:szCs w:val="18"/>
          <w:lang w:val="en-US"/>
        </w:rPr>
        <w:t xml:space="preserve"> I, </w:t>
      </w:r>
      <w:r w:rsidRPr="00C54D3E">
        <w:rPr>
          <w:rFonts w:ascii="Cambria" w:hAnsi="Cambria" w:cs="Arial"/>
          <w:sz w:val="18"/>
          <w:szCs w:val="18"/>
          <w:lang w:val="en-US"/>
        </w:rPr>
        <w:t>et al., (2017) Towards a whole-genome sequence for rye (Secale cereale L.)</w:t>
      </w:r>
      <w:r>
        <w:rPr>
          <w:rFonts w:ascii="Cambria" w:hAnsi="Cambria" w:cs="Arial"/>
          <w:sz w:val="18"/>
          <w:szCs w:val="18"/>
          <w:lang w:val="en-US"/>
        </w:rPr>
        <w:t xml:space="preserve">. </w:t>
      </w:r>
      <w:r w:rsidRPr="00C54D3E">
        <w:rPr>
          <w:rFonts w:ascii="Cambria" w:hAnsi="Cambria" w:cs="Arial"/>
          <w:i/>
          <w:iCs/>
          <w:sz w:val="18"/>
          <w:szCs w:val="18"/>
          <w:lang w:val="en-US"/>
        </w:rPr>
        <w:t>The Plant Journal</w:t>
      </w:r>
      <w:r w:rsidRPr="00C54D3E">
        <w:rPr>
          <w:rFonts w:ascii="Cambria" w:hAnsi="Cambria" w:cs="Arial"/>
          <w:sz w:val="18"/>
          <w:szCs w:val="18"/>
          <w:lang w:val="en-US"/>
        </w:rPr>
        <w:t xml:space="preserve"> 89, 853–869</w:t>
      </w:r>
    </w:p>
    <w:p w14:paraId="507A46B1" w14:textId="77777777" w:rsidR="00E30B30" w:rsidRPr="00AB5513" w:rsidRDefault="00E30B30" w:rsidP="00E30B30">
      <w:pPr>
        <w:rPr>
          <w:rFonts w:ascii="Cambria" w:hAnsi="Cambria"/>
          <w:sz w:val="18"/>
          <w:lang w:val="da-DK"/>
        </w:rPr>
      </w:pPr>
      <w:r w:rsidRPr="00E32840">
        <w:rPr>
          <w:rFonts w:ascii="Cambria" w:hAnsi="Cambria"/>
          <w:sz w:val="18"/>
          <w:szCs w:val="18"/>
        </w:rPr>
        <w:t xml:space="preserve">Rabanus-Wallace MT, Hackauf B, Mascher M </w:t>
      </w:r>
      <w:r w:rsidRPr="00E32840">
        <w:rPr>
          <w:rFonts w:ascii="Cambria" w:hAnsi="Cambria"/>
          <w:i/>
          <w:iCs/>
          <w:sz w:val="18"/>
          <w:szCs w:val="18"/>
        </w:rPr>
        <w:t>et al.</w:t>
      </w:r>
      <w:r w:rsidRPr="00E32840">
        <w:rPr>
          <w:rFonts w:ascii="Cambria" w:hAnsi="Cambria"/>
          <w:sz w:val="18"/>
          <w:szCs w:val="18"/>
        </w:rPr>
        <w:t xml:space="preserve"> </w:t>
      </w:r>
      <w:r w:rsidRPr="00295A64">
        <w:rPr>
          <w:rFonts w:ascii="Cambria" w:hAnsi="Cambria"/>
          <w:sz w:val="18"/>
          <w:szCs w:val="18"/>
          <w:lang w:val="en-US"/>
        </w:rPr>
        <w:t xml:space="preserve">(2021) Chromosome-scale genome assembly provides insights into rye biology, evolution and agronomic potential. </w:t>
      </w:r>
      <w:r w:rsidRPr="00AB5513">
        <w:rPr>
          <w:rFonts w:ascii="Cambria" w:hAnsi="Cambria"/>
          <w:i/>
          <w:sz w:val="18"/>
          <w:lang w:val="da-DK"/>
        </w:rPr>
        <w:t>Nat Genet</w:t>
      </w:r>
      <w:r w:rsidRPr="00AB5513">
        <w:rPr>
          <w:rFonts w:ascii="Cambria" w:hAnsi="Cambria"/>
          <w:sz w:val="18"/>
          <w:lang w:val="da-DK"/>
        </w:rPr>
        <w:t xml:space="preserve"> </w:t>
      </w:r>
      <w:r w:rsidRPr="00AB5513">
        <w:rPr>
          <w:rFonts w:ascii="Cambria" w:hAnsi="Cambria"/>
          <w:b/>
          <w:sz w:val="18"/>
          <w:lang w:val="da-DK"/>
        </w:rPr>
        <w:t xml:space="preserve">53, </w:t>
      </w:r>
      <w:r w:rsidRPr="00AB5513">
        <w:rPr>
          <w:rFonts w:ascii="Cambria" w:hAnsi="Cambria"/>
          <w:sz w:val="18"/>
          <w:lang w:val="da-DK"/>
        </w:rPr>
        <w:t xml:space="preserve">564–573 </w:t>
      </w:r>
    </w:p>
    <w:p w14:paraId="7DF6C54B" w14:textId="77777777" w:rsidR="00E30B30" w:rsidRPr="00295A64" w:rsidRDefault="00E30B30" w:rsidP="00E30B30">
      <w:pPr>
        <w:rPr>
          <w:rFonts w:ascii="Cambria" w:hAnsi="Cambria"/>
          <w:sz w:val="18"/>
          <w:szCs w:val="18"/>
          <w:lang w:val="en-US"/>
        </w:rPr>
      </w:pPr>
      <w:r w:rsidRPr="00AB5513">
        <w:rPr>
          <w:rFonts w:ascii="Cambria" w:hAnsi="Cambria"/>
          <w:sz w:val="18"/>
          <w:lang w:val="da-DK"/>
        </w:rPr>
        <w:lastRenderedPageBreak/>
        <w:t xml:space="preserve">Li J, Dundas I, Dong C </w:t>
      </w:r>
      <w:r w:rsidRPr="00AB5513">
        <w:rPr>
          <w:rFonts w:ascii="Cambria" w:hAnsi="Cambria"/>
          <w:i/>
          <w:sz w:val="18"/>
          <w:lang w:val="da-DK"/>
        </w:rPr>
        <w:t>et al.</w:t>
      </w:r>
      <w:r w:rsidRPr="00AB5513">
        <w:rPr>
          <w:rFonts w:ascii="Cambria" w:hAnsi="Cambria"/>
          <w:sz w:val="18"/>
          <w:lang w:val="da-DK"/>
        </w:rPr>
        <w:t xml:space="preserve"> </w:t>
      </w:r>
      <w:r w:rsidRPr="00295A64">
        <w:rPr>
          <w:rFonts w:ascii="Cambria" w:hAnsi="Cambria"/>
          <w:sz w:val="18"/>
          <w:szCs w:val="18"/>
          <w:lang w:val="en-US"/>
        </w:rPr>
        <w:t xml:space="preserve">(2020) Identification and characterization of a new stripe rust resistance gene </w:t>
      </w:r>
      <w:r w:rsidRPr="00295A64">
        <w:rPr>
          <w:rFonts w:ascii="Cambria" w:hAnsi="Cambria"/>
          <w:i/>
          <w:iCs/>
          <w:sz w:val="18"/>
          <w:szCs w:val="18"/>
          <w:lang w:val="en-US"/>
        </w:rPr>
        <w:t>Yr83</w:t>
      </w:r>
      <w:r w:rsidRPr="00295A64">
        <w:rPr>
          <w:rFonts w:ascii="Cambria" w:hAnsi="Cambria"/>
          <w:sz w:val="18"/>
          <w:szCs w:val="18"/>
          <w:lang w:val="en-US"/>
        </w:rPr>
        <w:t xml:space="preserve"> on rye chromosome 6R in wheat. </w:t>
      </w:r>
      <w:r w:rsidRPr="00295A64">
        <w:rPr>
          <w:rFonts w:ascii="Cambria" w:hAnsi="Cambria"/>
          <w:i/>
          <w:iCs/>
          <w:sz w:val="18"/>
          <w:szCs w:val="18"/>
          <w:lang w:val="en-US"/>
        </w:rPr>
        <w:t>Theor Appl Genet</w:t>
      </w:r>
      <w:r w:rsidRPr="00295A64">
        <w:rPr>
          <w:rFonts w:ascii="Cambria" w:hAnsi="Cambria"/>
          <w:sz w:val="18"/>
          <w:szCs w:val="18"/>
          <w:lang w:val="en-US"/>
        </w:rPr>
        <w:t xml:space="preserve"> </w:t>
      </w:r>
      <w:r w:rsidRPr="00295A64">
        <w:rPr>
          <w:rFonts w:ascii="Cambria" w:hAnsi="Cambria"/>
          <w:b/>
          <w:bCs/>
          <w:sz w:val="18"/>
          <w:szCs w:val="18"/>
          <w:lang w:val="en-US"/>
        </w:rPr>
        <w:t xml:space="preserve">133, </w:t>
      </w:r>
      <w:r w:rsidRPr="00295A64">
        <w:rPr>
          <w:rFonts w:ascii="Cambria" w:hAnsi="Cambria"/>
          <w:sz w:val="18"/>
          <w:szCs w:val="18"/>
          <w:lang w:val="en-US"/>
        </w:rPr>
        <w:t>1095–1107.</w:t>
      </w:r>
    </w:p>
    <w:p w14:paraId="529C984A" w14:textId="77777777" w:rsidR="00E30B30" w:rsidRDefault="00E30B30" w:rsidP="00A34A84">
      <w:pPr>
        <w:pBdr>
          <w:top w:val="single" w:sz="4" w:space="1" w:color="auto"/>
        </w:pBdr>
        <w:rPr>
          <w:rFonts w:ascii="Arial" w:hAnsi="Arial" w:cs="Arial"/>
        </w:rPr>
      </w:pPr>
    </w:p>
    <w:sectPr w:rsidR="00E30B30">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61267" w14:textId="77777777" w:rsidR="00B43080" w:rsidRDefault="00B43080">
      <w:r>
        <w:separator/>
      </w:r>
    </w:p>
  </w:endnote>
  <w:endnote w:type="continuationSeparator" w:id="0">
    <w:p w14:paraId="00BAD3EA" w14:textId="77777777" w:rsidR="00B43080" w:rsidRDefault="00B4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TIX-Regular">
    <w:altName w:val="Yu Gothic"/>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BA6BD" w14:textId="77777777" w:rsidR="00B43080" w:rsidRDefault="00B43080">
      <w:r>
        <w:separator/>
      </w:r>
    </w:p>
  </w:footnote>
  <w:footnote w:type="continuationSeparator" w:id="0">
    <w:p w14:paraId="34EC47E2" w14:textId="77777777" w:rsidR="00B43080" w:rsidRDefault="00B4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5C4B" w14:textId="4902D482" w:rsidR="00A34A84" w:rsidRPr="00B109C6" w:rsidRDefault="001D4CC0" w:rsidP="00B109C6">
    <w:pPr>
      <w:pStyle w:val="En-tte"/>
      <w:jc w:val="center"/>
      <w:rPr>
        <w:rFonts w:ascii="Arial" w:hAnsi="Arial" w:cs="Arial"/>
      </w:rPr>
    </w:pPr>
    <w:r w:rsidRPr="001D4CC0">
      <w:rPr>
        <w:rFonts w:ascii="Arial" w:hAnsi="Arial" w:cs="Arial"/>
      </w:rPr>
      <w:tab/>
      <w:t>FSOV F20 D</w:t>
    </w:r>
    <w:r>
      <w:rPr>
        <w:rFonts w:ascii="Arial" w:hAnsi="Arial" w:cs="Arial"/>
      </w:rPr>
      <w:t xml:space="preserve"> </w:t>
    </w:r>
    <w:r w:rsidR="00B109C6">
      <w:rPr>
        <w:rFonts w:ascii="Arial" w:hAnsi="Arial" w:cs="Arial"/>
      </w:rPr>
      <w:t xml:space="preserve">- </w:t>
    </w:r>
    <w:r w:rsidRPr="001D4CC0">
      <w:rPr>
        <w:rFonts w:ascii="Arial" w:hAnsi="Arial" w:cs="Arial"/>
      </w:rPr>
      <w:t>Rapport d’activité année 1</w:t>
    </w:r>
  </w:p>
  <w:p w14:paraId="246C8B67" w14:textId="77777777" w:rsidR="00A34A84" w:rsidRPr="00BE6314" w:rsidRDefault="00B109C6" w:rsidP="00BE6314">
    <w:pPr>
      <w:pBdr>
        <w:top w:val="single" w:sz="4" w:space="1" w:color="auto"/>
        <w:left w:val="single" w:sz="4" w:space="4" w:color="auto"/>
        <w:bottom w:val="single" w:sz="4" w:space="1" w:color="auto"/>
        <w:right w:val="single" w:sz="4" w:space="4" w:color="auto"/>
      </w:pBdr>
      <w:shd w:val="clear" w:color="auto" w:fill="191919"/>
      <w:jc w:val="center"/>
      <w:rPr>
        <w:rFonts w:ascii="Arial" w:hAnsi="Arial" w:cs="Arial"/>
        <w:b/>
        <w:bCs/>
        <w:color w:val="FFFFFF"/>
        <w:sz w:val="32"/>
        <w:szCs w:val="32"/>
      </w:rPr>
    </w:pPr>
    <w:r>
      <w:rPr>
        <w:rFonts w:ascii="Arial" w:hAnsi="Arial" w:cs="Arial"/>
        <w:b/>
        <w:bCs/>
        <w:color w:val="FFFFFF"/>
        <w:sz w:val="32"/>
        <w:szCs w:val="32"/>
      </w:rPr>
      <w:t xml:space="preserve">DOCUMENT CONFIDENTIEL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0E9C"/>
    <w:multiLevelType w:val="multilevel"/>
    <w:tmpl w:val="CF18560A"/>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1002"/>
        </w:tabs>
        <w:ind w:left="1002" w:hanging="576"/>
      </w:p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15:restartNumberingAfterBreak="0">
    <w:nsid w:val="20E412BE"/>
    <w:multiLevelType w:val="hybridMultilevel"/>
    <w:tmpl w:val="1F64B61C"/>
    <w:lvl w:ilvl="0" w:tplc="47F6FA4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B56681"/>
    <w:multiLevelType w:val="hybridMultilevel"/>
    <w:tmpl w:val="792C0D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DDA26FE"/>
    <w:multiLevelType w:val="hybridMultilevel"/>
    <w:tmpl w:val="0E621378"/>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444D76B9"/>
    <w:multiLevelType w:val="hybridMultilevel"/>
    <w:tmpl w:val="65644542"/>
    <w:lvl w:ilvl="0" w:tplc="7A2A36BC">
      <w:start w:val="1"/>
      <w:numFmt w:val="decimal"/>
      <w:pStyle w:val="Titre2CI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9EF2639"/>
    <w:multiLevelType w:val="hybridMultilevel"/>
    <w:tmpl w:val="22CA1792"/>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4E210C43"/>
    <w:multiLevelType w:val="hybridMultilevel"/>
    <w:tmpl w:val="53D8FFA4"/>
    <w:lvl w:ilvl="0" w:tplc="FFFFFFFF">
      <w:start w:val="1"/>
      <w:numFmt w:val="bullet"/>
      <w:lvlText w:val=""/>
      <w:lvlJc w:val="left"/>
      <w:pPr>
        <w:tabs>
          <w:tab w:val="num" w:pos="720"/>
        </w:tabs>
        <w:ind w:left="720" w:hanging="360"/>
      </w:pPr>
      <w:rPr>
        <w:rFonts w:ascii="Wingdings" w:hAnsi="Wingdings" w:hint="default"/>
        <w:color w:val="000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E84325"/>
    <w:multiLevelType w:val="hybridMultilevel"/>
    <w:tmpl w:val="E9642BC8"/>
    <w:lvl w:ilvl="0" w:tplc="206EA31E">
      <w:start w:val="2"/>
      <w:numFmt w:val="upperLetter"/>
      <w:lvlText w:val="%1."/>
      <w:lvlJc w:val="left"/>
      <w:pPr>
        <w:ind w:left="1637" w:hanging="360"/>
      </w:pPr>
      <w:rPr>
        <w:rFonts w:hint="default"/>
        <w:b/>
        <w:bCs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 w15:restartNumberingAfterBreak="0">
    <w:nsid w:val="5B2E2E41"/>
    <w:multiLevelType w:val="hybridMultilevel"/>
    <w:tmpl w:val="E84E87DC"/>
    <w:lvl w:ilvl="0" w:tplc="314A54DA">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935354519">
    <w:abstractNumId w:val="5"/>
  </w:num>
  <w:num w:numId="2" w16cid:durableId="700319907">
    <w:abstractNumId w:val="3"/>
  </w:num>
  <w:num w:numId="3" w16cid:durableId="2113937185">
    <w:abstractNumId w:val="8"/>
  </w:num>
  <w:num w:numId="4" w16cid:durableId="1988246787">
    <w:abstractNumId w:val="0"/>
  </w:num>
  <w:num w:numId="5" w16cid:durableId="1169254603">
    <w:abstractNumId w:val="0"/>
  </w:num>
  <w:num w:numId="6" w16cid:durableId="439301491">
    <w:abstractNumId w:val="2"/>
  </w:num>
  <w:num w:numId="7" w16cid:durableId="1066220622">
    <w:abstractNumId w:val="7"/>
  </w:num>
  <w:num w:numId="8" w16cid:durableId="1382826881">
    <w:abstractNumId w:val="1"/>
  </w:num>
  <w:num w:numId="9" w16cid:durableId="1649626214">
    <w:abstractNumId w:val="6"/>
  </w:num>
  <w:num w:numId="10" w16cid:durableId="1441801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D8"/>
    <w:rsid w:val="00005561"/>
    <w:rsid w:val="0000663B"/>
    <w:rsid w:val="000151C0"/>
    <w:rsid w:val="000327A2"/>
    <w:rsid w:val="000353D8"/>
    <w:rsid w:val="00043A2A"/>
    <w:rsid w:val="00044949"/>
    <w:rsid w:val="00050D4A"/>
    <w:rsid w:val="00053C23"/>
    <w:rsid w:val="00073798"/>
    <w:rsid w:val="000A03C0"/>
    <w:rsid w:val="000A165F"/>
    <w:rsid w:val="000B1513"/>
    <w:rsid w:val="000C365E"/>
    <w:rsid w:val="000D1139"/>
    <w:rsid w:val="000E5E19"/>
    <w:rsid w:val="00117672"/>
    <w:rsid w:val="001225C5"/>
    <w:rsid w:val="00130E90"/>
    <w:rsid w:val="00136530"/>
    <w:rsid w:val="00140FD8"/>
    <w:rsid w:val="001560F7"/>
    <w:rsid w:val="0017030E"/>
    <w:rsid w:val="00174882"/>
    <w:rsid w:val="001A4B51"/>
    <w:rsid w:val="001C3EF6"/>
    <w:rsid w:val="001D4CC0"/>
    <w:rsid w:val="001D738B"/>
    <w:rsid w:val="001F651F"/>
    <w:rsid w:val="0020718B"/>
    <w:rsid w:val="00214BF6"/>
    <w:rsid w:val="0022023D"/>
    <w:rsid w:val="00220A82"/>
    <w:rsid w:val="002323E2"/>
    <w:rsid w:val="002423E4"/>
    <w:rsid w:val="00251971"/>
    <w:rsid w:val="002C2075"/>
    <w:rsid w:val="002C665E"/>
    <w:rsid w:val="002E6084"/>
    <w:rsid w:val="002F350A"/>
    <w:rsid w:val="00304C27"/>
    <w:rsid w:val="003125C5"/>
    <w:rsid w:val="003131AA"/>
    <w:rsid w:val="0032376A"/>
    <w:rsid w:val="003508DF"/>
    <w:rsid w:val="00371C9E"/>
    <w:rsid w:val="003824CD"/>
    <w:rsid w:val="003A3203"/>
    <w:rsid w:val="003B4D71"/>
    <w:rsid w:val="003B5884"/>
    <w:rsid w:val="003B6C87"/>
    <w:rsid w:val="003B7AA8"/>
    <w:rsid w:val="003C267E"/>
    <w:rsid w:val="003C3DA4"/>
    <w:rsid w:val="003D2B4E"/>
    <w:rsid w:val="003D32E3"/>
    <w:rsid w:val="003E31EE"/>
    <w:rsid w:val="00421A32"/>
    <w:rsid w:val="00441860"/>
    <w:rsid w:val="00475122"/>
    <w:rsid w:val="00486E2D"/>
    <w:rsid w:val="00495EE1"/>
    <w:rsid w:val="004B0BBF"/>
    <w:rsid w:val="004D2C9A"/>
    <w:rsid w:val="004E35A8"/>
    <w:rsid w:val="005010D7"/>
    <w:rsid w:val="00543A55"/>
    <w:rsid w:val="00547B7D"/>
    <w:rsid w:val="00580DF7"/>
    <w:rsid w:val="00587652"/>
    <w:rsid w:val="005E50D4"/>
    <w:rsid w:val="005F51AC"/>
    <w:rsid w:val="006058C7"/>
    <w:rsid w:val="00627196"/>
    <w:rsid w:val="00641C8E"/>
    <w:rsid w:val="00643F28"/>
    <w:rsid w:val="00647B7C"/>
    <w:rsid w:val="006578D5"/>
    <w:rsid w:val="00681F8A"/>
    <w:rsid w:val="006A1AC3"/>
    <w:rsid w:val="006B6E2A"/>
    <w:rsid w:val="006F3CA1"/>
    <w:rsid w:val="006F58F8"/>
    <w:rsid w:val="0072054D"/>
    <w:rsid w:val="007213A8"/>
    <w:rsid w:val="00731F3C"/>
    <w:rsid w:val="00732F59"/>
    <w:rsid w:val="00753889"/>
    <w:rsid w:val="00772FC5"/>
    <w:rsid w:val="0077647D"/>
    <w:rsid w:val="007C551A"/>
    <w:rsid w:val="007E5651"/>
    <w:rsid w:val="007F3FC6"/>
    <w:rsid w:val="00807811"/>
    <w:rsid w:val="008217DA"/>
    <w:rsid w:val="00833DC3"/>
    <w:rsid w:val="008359F6"/>
    <w:rsid w:val="008365F7"/>
    <w:rsid w:val="0084081B"/>
    <w:rsid w:val="00864A1B"/>
    <w:rsid w:val="0088356B"/>
    <w:rsid w:val="008B4B6A"/>
    <w:rsid w:val="008C005D"/>
    <w:rsid w:val="008F2389"/>
    <w:rsid w:val="008F68DF"/>
    <w:rsid w:val="00907803"/>
    <w:rsid w:val="009520FF"/>
    <w:rsid w:val="009529CB"/>
    <w:rsid w:val="009645AC"/>
    <w:rsid w:val="00964DC9"/>
    <w:rsid w:val="00974B3E"/>
    <w:rsid w:val="009968F2"/>
    <w:rsid w:val="009B1E35"/>
    <w:rsid w:val="009B78FD"/>
    <w:rsid w:val="009B7D62"/>
    <w:rsid w:val="009C5E5E"/>
    <w:rsid w:val="009D0C11"/>
    <w:rsid w:val="009D5BD8"/>
    <w:rsid w:val="009D7280"/>
    <w:rsid w:val="009E08D7"/>
    <w:rsid w:val="00A14D78"/>
    <w:rsid w:val="00A34A84"/>
    <w:rsid w:val="00A34F00"/>
    <w:rsid w:val="00A36284"/>
    <w:rsid w:val="00A42896"/>
    <w:rsid w:val="00A53115"/>
    <w:rsid w:val="00A6062A"/>
    <w:rsid w:val="00A7266C"/>
    <w:rsid w:val="00A747C8"/>
    <w:rsid w:val="00A92026"/>
    <w:rsid w:val="00A95722"/>
    <w:rsid w:val="00AC4D0C"/>
    <w:rsid w:val="00AF3BDC"/>
    <w:rsid w:val="00B109C6"/>
    <w:rsid w:val="00B3487A"/>
    <w:rsid w:val="00B43080"/>
    <w:rsid w:val="00B80E59"/>
    <w:rsid w:val="00BB59D3"/>
    <w:rsid w:val="00BB7530"/>
    <w:rsid w:val="00BC3375"/>
    <w:rsid w:val="00BE6314"/>
    <w:rsid w:val="00C0778F"/>
    <w:rsid w:val="00C156DA"/>
    <w:rsid w:val="00C22770"/>
    <w:rsid w:val="00C22963"/>
    <w:rsid w:val="00C4459D"/>
    <w:rsid w:val="00C55AFD"/>
    <w:rsid w:val="00C75E10"/>
    <w:rsid w:val="00C834AC"/>
    <w:rsid w:val="00CA3E1A"/>
    <w:rsid w:val="00CA48AE"/>
    <w:rsid w:val="00CB4B10"/>
    <w:rsid w:val="00CD62F2"/>
    <w:rsid w:val="00CF1AF4"/>
    <w:rsid w:val="00D061D9"/>
    <w:rsid w:val="00D2706C"/>
    <w:rsid w:val="00D33226"/>
    <w:rsid w:val="00D64924"/>
    <w:rsid w:val="00D72D8A"/>
    <w:rsid w:val="00D73F9D"/>
    <w:rsid w:val="00D91D19"/>
    <w:rsid w:val="00DA458C"/>
    <w:rsid w:val="00DA750E"/>
    <w:rsid w:val="00DB08E7"/>
    <w:rsid w:val="00DB6972"/>
    <w:rsid w:val="00DC78BE"/>
    <w:rsid w:val="00DD47EF"/>
    <w:rsid w:val="00DE30FA"/>
    <w:rsid w:val="00DF03C3"/>
    <w:rsid w:val="00DF20BB"/>
    <w:rsid w:val="00DF2828"/>
    <w:rsid w:val="00E26959"/>
    <w:rsid w:val="00E30B30"/>
    <w:rsid w:val="00E32840"/>
    <w:rsid w:val="00E536C6"/>
    <w:rsid w:val="00E75C04"/>
    <w:rsid w:val="00E87119"/>
    <w:rsid w:val="00E9352B"/>
    <w:rsid w:val="00EA4AB6"/>
    <w:rsid w:val="00EB14E4"/>
    <w:rsid w:val="00EC37DE"/>
    <w:rsid w:val="00EE1F9B"/>
    <w:rsid w:val="00EE74EA"/>
    <w:rsid w:val="00EF7AD4"/>
    <w:rsid w:val="00F0585A"/>
    <w:rsid w:val="00F0669E"/>
    <w:rsid w:val="00F06A18"/>
    <w:rsid w:val="00F2472D"/>
    <w:rsid w:val="00F377D5"/>
    <w:rsid w:val="00F561BB"/>
    <w:rsid w:val="00F61F4F"/>
    <w:rsid w:val="00F64406"/>
    <w:rsid w:val="00F82F12"/>
    <w:rsid w:val="00F86915"/>
    <w:rsid w:val="00F92B79"/>
    <w:rsid w:val="00F92DB5"/>
    <w:rsid w:val="00F97338"/>
    <w:rsid w:val="00FA4BC0"/>
    <w:rsid w:val="00FB45BD"/>
    <w:rsid w:val="00FC5205"/>
    <w:rsid w:val="00FC7C96"/>
    <w:rsid w:val="00FE2AB3"/>
    <w:rsid w:val="00FF23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268F9E"/>
  <w15:chartTrackingRefBased/>
  <w15:docId w15:val="{128E61E7-7A06-44F6-98FB-10555FBBD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link w:val="Titre1Car"/>
    <w:qFormat/>
    <w:rsid w:val="007C551A"/>
    <w:pPr>
      <w:keepNext/>
      <w:numPr>
        <w:numId w:val="4"/>
      </w:numPr>
      <w:spacing w:before="360" w:after="60" w:line="276" w:lineRule="auto"/>
      <w:jc w:val="both"/>
      <w:outlineLvl w:val="0"/>
    </w:pPr>
    <w:rPr>
      <w:rFonts w:ascii="Arial" w:hAnsi="Arial"/>
      <w:b/>
      <w:kern w:val="32"/>
      <w:sz w:val="28"/>
    </w:rPr>
  </w:style>
  <w:style w:type="paragraph" w:styleId="Titre2">
    <w:name w:val="heading 2"/>
    <w:basedOn w:val="Normal"/>
    <w:next w:val="Normal"/>
    <w:link w:val="Titre2Car"/>
    <w:qFormat/>
    <w:rsid w:val="007C551A"/>
    <w:pPr>
      <w:keepNext/>
      <w:numPr>
        <w:ilvl w:val="1"/>
        <w:numId w:val="4"/>
      </w:numPr>
      <w:spacing w:before="360" w:after="40" w:line="360" w:lineRule="auto"/>
      <w:jc w:val="both"/>
      <w:outlineLvl w:val="1"/>
    </w:pPr>
    <w:rPr>
      <w:rFonts w:ascii="Arial" w:hAnsi="Arial"/>
      <w:b/>
      <w:i/>
    </w:rPr>
  </w:style>
  <w:style w:type="paragraph" w:styleId="Titre3">
    <w:name w:val="heading 3"/>
    <w:basedOn w:val="Normal"/>
    <w:next w:val="Normal"/>
    <w:link w:val="Titre3Car"/>
    <w:qFormat/>
    <w:rsid w:val="007C551A"/>
    <w:pPr>
      <w:keepNext/>
      <w:numPr>
        <w:ilvl w:val="2"/>
        <w:numId w:val="4"/>
      </w:numPr>
      <w:spacing w:before="240" w:after="60"/>
      <w:jc w:val="both"/>
      <w:outlineLvl w:val="2"/>
    </w:pPr>
    <w:rPr>
      <w:rFonts w:ascii="Arial" w:hAnsi="Arial" w:cs="Arial"/>
      <w:b/>
      <w:bCs/>
      <w:sz w:val="26"/>
      <w:szCs w:val="26"/>
    </w:rPr>
  </w:style>
  <w:style w:type="paragraph" w:styleId="Titre4">
    <w:name w:val="heading 4"/>
    <w:basedOn w:val="Normal"/>
    <w:next w:val="Normal"/>
    <w:link w:val="Titre4Car"/>
    <w:qFormat/>
    <w:rsid w:val="007C551A"/>
    <w:pPr>
      <w:keepNext/>
      <w:numPr>
        <w:ilvl w:val="3"/>
        <w:numId w:val="4"/>
      </w:numPr>
      <w:spacing w:before="240" w:after="60"/>
      <w:jc w:val="both"/>
      <w:outlineLvl w:val="3"/>
    </w:pPr>
    <w:rPr>
      <w:b/>
      <w:bCs/>
      <w:sz w:val="28"/>
      <w:szCs w:val="28"/>
    </w:rPr>
  </w:style>
  <w:style w:type="paragraph" w:styleId="Titre5">
    <w:name w:val="heading 5"/>
    <w:basedOn w:val="Normal"/>
    <w:next w:val="Normal"/>
    <w:link w:val="Titre5Car"/>
    <w:qFormat/>
    <w:rsid w:val="007C551A"/>
    <w:pPr>
      <w:numPr>
        <w:ilvl w:val="4"/>
        <w:numId w:val="4"/>
      </w:numPr>
      <w:spacing w:before="240" w:after="60"/>
      <w:jc w:val="both"/>
      <w:outlineLvl w:val="4"/>
    </w:pPr>
    <w:rPr>
      <w:b/>
      <w:bCs/>
      <w:i/>
      <w:iCs/>
      <w:sz w:val="26"/>
      <w:szCs w:val="26"/>
    </w:rPr>
  </w:style>
  <w:style w:type="paragraph" w:styleId="Titre6">
    <w:name w:val="heading 6"/>
    <w:basedOn w:val="Normal"/>
    <w:next w:val="Normal"/>
    <w:link w:val="Titre6Car"/>
    <w:qFormat/>
    <w:rsid w:val="007C551A"/>
    <w:pPr>
      <w:numPr>
        <w:ilvl w:val="5"/>
        <w:numId w:val="4"/>
      </w:numPr>
      <w:spacing w:before="240" w:after="60"/>
      <w:jc w:val="both"/>
      <w:outlineLvl w:val="5"/>
    </w:pPr>
    <w:rPr>
      <w:b/>
      <w:bCs/>
      <w:sz w:val="22"/>
      <w:szCs w:val="22"/>
    </w:rPr>
  </w:style>
  <w:style w:type="paragraph" w:styleId="Titre7">
    <w:name w:val="heading 7"/>
    <w:basedOn w:val="Normal"/>
    <w:next w:val="Normal"/>
    <w:link w:val="Titre7Car"/>
    <w:qFormat/>
    <w:rsid w:val="007C551A"/>
    <w:pPr>
      <w:numPr>
        <w:ilvl w:val="6"/>
        <w:numId w:val="4"/>
      </w:numPr>
      <w:spacing w:before="240" w:after="60"/>
      <w:jc w:val="both"/>
      <w:outlineLvl w:val="6"/>
    </w:pPr>
  </w:style>
  <w:style w:type="paragraph" w:styleId="Titre8">
    <w:name w:val="heading 8"/>
    <w:basedOn w:val="Normal"/>
    <w:next w:val="Normal"/>
    <w:link w:val="Titre8Car"/>
    <w:qFormat/>
    <w:rsid w:val="007C551A"/>
    <w:pPr>
      <w:numPr>
        <w:ilvl w:val="7"/>
        <w:numId w:val="4"/>
      </w:numPr>
      <w:spacing w:before="240" w:after="60"/>
      <w:jc w:val="both"/>
      <w:outlineLvl w:val="7"/>
    </w:pPr>
    <w:rPr>
      <w:i/>
      <w:iCs/>
    </w:rPr>
  </w:style>
  <w:style w:type="paragraph" w:styleId="Titre9">
    <w:name w:val="heading 9"/>
    <w:basedOn w:val="Normal"/>
    <w:next w:val="Normal"/>
    <w:link w:val="Titre9Car"/>
    <w:qFormat/>
    <w:rsid w:val="007C551A"/>
    <w:pPr>
      <w:numPr>
        <w:ilvl w:val="8"/>
        <w:numId w:val="4"/>
      </w:numPr>
      <w:spacing w:before="240" w:after="60"/>
      <w:jc w:val="both"/>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95722"/>
    <w:pPr>
      <w:tabs>
        <w:tab w:val="center" w:pos="4536"/>
        <w:tab w:val="right" w:pos="9072"/>
      </w:tabs>
    </w:pPr>
  </w:style>
  <w:style w:type="paragraph" w:styleId="Pieddepage">
    <w:name w:val="footer"/>
    <w:basedOn w:val="Normal"/>
    <w:rsid w:val="00A95722"/>
    <w:pPr>
      <w:tabs>
        <w:tab w:val="center" w:pos="4536"/>
        <w:tab w:val="right" w:pos="9072"/>
      </w:tabs>
    </w:pPr>
  </w:style>
  <w:style w:type="table" w:styleId="Grilledutableau">
    <w:name w:val="Table Grid"/>
    <w:basedOn w:val="TableauNormal"/>
    <w:rsid w:val="00BE6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B80E59"/>
    <w:rPr>
      <w:rFonts w:ascii="Tahoma" w:hAnsi="Tahoma" w:cs="Tahoma"/>
      <w:sz w:val="16"/>
      <w:szCs w:val="16"/>
    </w:rPr>
  </w:style>
  <w:style w:type="character" w:customStyle="1" w:styleId="Titre1Car">
    <w:name w:val="Titre 1 Car"/>
    <w:link w:val="Titre1"/>
    <w:rsid w:val="007C551A"/>
    <w:rPr>
      <w:rFonts w:ascii="Arial" w:hAnsi="Arial"/>
      <w:b/>
      <w:kern w:val="32"/>
      <w:sz w:val="28"/>
      <w:szCs w:val="24"/>
    </w:rPr>
  </w:style>
  <w:style w:type="character" w:customStyle="1" w:styleId="Titre2Car">
    <w:name w:val="Titre 2 Car"/>
    <w:link w:val="Titre2"/>
    <w:rsid w:val="007C551A"/>
    <w:rPr>
      <w:rFonts w:ascii="Arial" w:hAnsi="Arial"/>
      <w:b/>
      <w:i/>
      <w:sz w:val="24"/>
      <w:szCs w:val="24"/>
    </w:rPr>
  </w:style>
  <w:style w:type="character" w:customStyle="1" w:styleId="Titre3Car">
    <w:name w:val="Titre 3 Car"/>
    <w:link w:val="Titre3"/>
    <w:rsid w:val="007C551A"/>
    <w:rPr>
      <w:rFonts w:ascii="Arial" w:hAnsi="Arial" w:cs="Arial"/>
      <w:b/>
      <w:bCs/>
      <w:sz w:val="26"/>
      <w:szCs w:val="26"/>
    </w:rPr>
  </w:style>
  <w:style w:type="character" w:customStyle="1" w:styleId="Titre4Car">
    <w:name w:val="Titre 4 Car"/>
    <w:link w:val="Titre4"/>
    <w:rsid w:val="007C551A"/>
    <w:rPr>
      <w:b/>
      <w:bCs/>
      <w:sz w:val="28"/>
      <w:szCs w:val="28"/>
    </w:rPr>
  </w:style>
  <w:style w:type="character" w:customStyle="1" w:styleId="Titre5Car">
    <w:name w:val="Titre 5 Car"/>
    <w:link w:val="Titre5"/>
    <w:rsid w:val="007C551A"/>
    <w:rPr>
      <w:b/>
      <w:bCs/>
      <w:i/>
      <w:iCs/>
      <w:sz w:val="26"/>
      <w:szCs w:val="26"/>
    </w:rPr>
  </w:style>
  <w:style w:type="character" w:customStyle="1" w:styleId="Titre6Car">
    <w:name w:val="Titre 6 Car"/>
    <w:link w:val="Titre6"/>
    <w:rsid w:val="007C551A"/>
    <w:rPr>
      <w:b/>
      <w:bCs/>
      <w:sz w:val="22"/>
      <w:szCs w:val="22"/>
    </w:rPr>
  </w:style>
  <w:style w:type="character" w:customStyle="1" w:styleId="Titre7Car">
    <w:name w:val="Titre 7 Car"/>
    <w:link w:val="Titre7"/>
    <w:rsid w:val="007C551A"/>
    <w:rPr>
      <w:sz w:val="24"/>
      <w:szCs w:val="24"/>
    </w:rPr>
  </w:style>
  <w:style w:type="character" w:customStyle="1" w:styleId="Titre8Car">
    <w:name w:val="Titre 8 Car"/>
    <w:link w:val="Titre8"/>
    <w:rsid w:val="007C551A"/>
    <w:rPr>
      <w:i/>
      <w:iCs/>
      <w:sz w:val="24"/>
      <w:szCs w:val="24"/>
    </w:rPr>
  </w:style>
  <w:style w:type="character" w:customStyle="1" w:styleId="Titre9Car">
    <w:name w:val="Titre 9 Car"/>
    <w:link w:val="Titre9"/>
    <w:rsid w:val="007C551A"/>
    <w:rPr>
      <w:rFonts w:ascii="Arial" w:hAnsi="Arial" w:cs="Arial"/>
      <w:sz w:val="22"/>
      <w:szCs w:val="22"/>
    </w:rPr>
  </w:style>
  <w:style w:type="paragraph" w:styleId="Paragraphedeliste">
    <w:name w:val="List Paragraph"/>
    <w:basedOn w:val="Normal"/>
    <w:uiPriority w:val="34"/>
    <w:qFormat/>
    <w:rsid w:val="00731F3C"/>
    <w:pPr>
      <w:spacing w:after="200" w:line="276" w:lineRule="auto"/>
      <w:ind w:left="720"/>
      <w:contextualSpacing/>
    </w:pPr>
    <w:rPr>
      <w:rFonts w:ascii="Calibri" w:eastAsia="Calibri" w:hAnsi="Calibri"/>
      <w:sz w:val="22"/>
      <w:szCs w:val="22"/>
      <w:lang w:eastAsia="en-US"/>
    </w:rPr>
  </w:style>
  <w:style w:type="character" w:styleId="Marquedecommentaire">
    <w:name w:val="annotation reference"/>
    <w:uiPriority w:val="99"/>
    <w:unhideWhenUsed/>
    <w:rsid w:val="00731F3C"/>
    <w:rPr>
      <w:sz w:val="16"/>
      <w:szCs w:val="16"/>
    </w:rPr>
  </w:style>
  <w:style w:type="paragraph" w:styleId="Commentaire">
    <w:name w:val="annotation text"/>
    <w:basedOn w:val="Normal"/>
    <w:link w:val="CommentaireCar"/>
    <w:uiPriority w:val="99"/>
    <w:unhideWhenUsed/>
    <w:rsid w:val="00731F3C"/>
    <w:pPr>
      <w:spacing w:after="200"/>
    </w:pPr>
    <w:rPr>
      <w:rFonts w:ascii="Calibri" w:eastAsia="Calibri" w:hAnsi="Calibri"/>
      <w:sz w:val="20"/>
      <w:szCs w:val="20"/>
      <w:lang w:eastAsia="en-US"/>
    </w:rPr>
  </w:style>
  <w:style w:type="character" w:customStyle="1" w:styleId="CommentaireCar">
    <w:name w:val="Commentaire Car"/>
    <w:link w:val="Commentaire"/>
    <w:uiPriority w:val="99"/>
    <w:rsid w:val="00731F3C"/>
    <w:rPr>
      <w:rFonts w:ascii="Calibri" w:eastAsia="Calibri" w:hAnsi="Calibri"/>
      <w:lang w:eastAsia="en-US"/>
    </w:rPr>
  </w:style>
  <w:style w:type="character" w:customStyle="1" w:styleId="hithilite">
    <w:name w:val="hithilite"/>
  </w:style>
  <w:style w:type="character" w:customStyle="1" w:styleId="databold">
    <w:name w:val="data_bold"/>
  </w:style>
  <w:style w:type="paragraph" w:customStyle="1" w:styleId="St-1">
    <w:name w:val="St-1"/>
    <w:basedOn w:val="Normal"/>
    <w:qFormat/>
    <w:pPr>
      <w:spacing w:after="120"/>
      <w:jc w:val="both"/>
    </w:pPr>
    <w:rPr>
      <w:rFonts w:ascii="Calibri" w:hAnsi="Calibri"/>
      <w:sz w:val="20"/>
      <w:szCs w:val="20"/>
    </w:rPr>
  </w:style>
  <w:style w:type="paragraph" w:customStyle="1" w:styleId="Paragraphe">
    <w:name w:val="Paragraphe"/>
    <w:basedOn w:val="Normal"/>
    <w:link w:val="ParagrapheCar"/>
    <w:pPr>
      <w:autoSpaceDE w:val="0"/>
      <w:autoSpaceDN w:val="0"/>
      <w:adjustRightInd w:val="0"/>
      <w:spacing w:line="360" w:lineRule="auto"/>
      <w:jc w:val="both"/>
    </w:pPr>
    <w:rPr>
      <w:rFonts w:cs="Arial"/>
    </w:rPr>
  </w:style>
  <w:style w:type="character" w:customStyle="1" w:styleId="ParagrapheCar">
    <w:name w:val="Paragraphe Car"/>
    <w:link w:val="Paragraphe"/>
    <w:rPr>
      <w:rFonts w:cs="Arial"/>
      <w:sz w:val="24"/>
      <w:szCs w:val="24"/>
    </w:rPr>
  </w:style>
  <w:style w:type="paragraph" w:customStyle="1" w:styleId="Default">
    <w:name w:val="Default"/>
    <w:rsid w:val="00E30B30"/>
    <w:pPr>
      <w:autoSpaceDE w:val="0"/>
      <w:autoSpaceDN w:val="0"/>
      <w:adjustRightInd w:val="0"/>
    </w:pPr>
    <w:rPr>
      <w:rFonts w:ascii="Calibri" w:eastAsia="Calibri" w:hAnsi="Calibri" w:cs="Calibri"/>
      <w:color w:val="000000"/>
      <w:sz w:val="24"/>
      <w:szCs w:val="24"/>
      <w:lang w:eastAsia="en-US"/>
    </w:rPr>
  </w:style>
  <w:style w:type="paragraph" w:customStyle="1" w:styleId="Titre2CIR">
    <w:name w:val="Titre 2 CIR"/>
    <w:basedOn w:val="Titre2"/>
    <w:qFormat/>
    <w:rsid w:val="001F651F"/>
    <w:pPr>
      <w:keepNext w:val="0"/>
      <w:numPr>
        <w:ilvl w:val="0"/>
        <w:numId w:val="10"/>
      </w:numPr>
      <w:spacing w:before="0" w:after="160" w:line="259" w:lineRule="auto"/>
      <w:contextualSpacing/>
      <w:jc w:val="left"/>
      <w:outlineLvl w:val="9"/>
    </w:pPr>
    <w:rPr>
      <w:rFonts w:asciiTheme="minorHAnsi" w:eastAsiaTheme="minorHAnsi" w:hAnsiTheme="minorHAnsi" w:cstheme="minorBidi"/>
      <w:i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1586">
      <w:bodyDiv w:val="1"/>
      <w:marLeft w:val="0"/>
      <w:marRight w:val="0"/>
      <w:marTop w:val="0"/>
      <w:marBottom w:val="0"/>
      <w:divBdr>
        <w:top w:val="none" w:sz="0" w:space="0" w:color="auto"/>
        <w:left w:val="none" w:sz="0" w:space="0" w:color="auto"/>
        <w:bottom w:val="none" w:sz="0" w:space="0" w:color="auto"/>
        <w:right w:val="none" w:sz="0" w:space="0" w:color="auto"/>
      </w:divBdr>
    </w:div>
    <w:div w:id="373894318">
      <w:bodyDiv w:val="1"/>
      <w:marLeft w:val="0"/>
      <w:marRight w:val="0"/>
      <w:marTop w:val="0"/>
      <w:marBottom w:val="0"/>
      <w:divBdr>
        <w:top w:val="none" w:sz="0" w:space="0" w:color="auto"/>
        <w:left w:val="none" w:sz="0" w:space="0" w:color="auto"/>
        <w:bottom w:val="none" w:sz="0" w:space="0" w:color="auto"/>
        <w:right w:val="none" w:sz="0" w:space="0" w:color="auto"/>
      </w:divBdr>
    </w:div>
    <w:div w:id="868227932">
      <w:bodyDiv w:val="1"/>
      <w:marLeft w:val="0"/>
      <w:marRight w:val="0"/>
      <w:marTop w:val="0"/>
      <w:marBottom w:val="0"/>
      <w:divBdr>
        <w:top w:val="none" w:sz="0" w:space="0" w:color="auto"/>
        <w:left w:val="none" w:sz="0" w:space="0" w:color="auto"/>
        <w:bottom w:val="none" w:sz="0" w:space="0" w:color="auto"/>
        <w:right w:val="none" w:sz="0" w:space="0" w:color="auto"/>
      </w:divBdr>
    </w:div>
    <w:div w:id="128974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vlaurent\AppData\Local\Microsoft\Windows\INetCache\Content.Outlook\2AELFITC\TRI21%20PEPI%20RJ%20FSOV%20SECOBRA.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fr-FR" sz="800"/>
              <a:t>panel France - Tri2015 - Secobra</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'moyennes rep+date'!$A$1:$A$160</c:f>
              <c:strCache>
                <c:ptCount val="160"/>
                <c:pt idx="0">
                  <c:v>13HT18-13</c:v>
                </c:pt>
                <c:pt idx="1">
                  <c:v>ADT03</c:v>
                </c:pt>
                <c:pt idx="2">
                  <c:v>ADT04</c:v>
                </c:pt>
                <c:pt idx="3">
                  <c:v>ADT05</c:v>
                </c:pt>
                <c:pt idx="4">
                  <c:v>ADT06</c:v>
                </c:pt>
                <c:pt idx="5">
                  <c:v>ADT07</c:v>
                </c:pt>
                <c:pt idx="6">
                  <c:v>AO05</c:v>
                </c:pt>
                <c:pt idx="7">
                  <c:v>AO06</c:v>
                </c:pt>
                <c:pt idx="8">
                  <c:v>AO14</c:v>
                </c:pt>
                <c:pt idx="9">
                  <c:v>AO17</c:v>
                </c:pt>
                <c:pt idx="10">
                  <c:v>AO18</c:v>
                </c:pt>
                <c:pt idx="11">
                  <c:v>BREHAT</c:v>
                </c:pt>
                <c:pt idx="12">
                  <c:v>DANKOWSKIE AMBER</c:v>
                </c:pt>
                <c:pt idx="13">
                  <c:v>FD07</c:v>
                </c:pt>
                <c:pt idx="14">
                  <c:v>FD08</c:v>
                </c:pt>
                <c:pt idx="15">
                  <c:v>FD11</c:v>
                </c:pt>
                <c:pt idx="16">
                  <c:v>FD15</c:v>
                </c:pt>
                <c:pt idx="17">
                  <c:v>FD19</c:v>
                </c:pt>
                <c:pt idx="18">
                  <c:v>HT21A1_097</c:v>
                </c:pt>
                <c:pt idx="19">
                  <c:v>HT21A1_098</c:v>
                </c:pt>
                <c:pt idx="20">
                  <c:v>HT21A1_099</c:v>
                </c:pt>
                <c:pt idx="21">
                  <c:v>HT21A1_100</c:v>
                </c:pt>
                <c:pt idx="22">
                  <c:v>HT21A1_101</c:v>
                </c:pt>
                <c:pt idx="23">
                  <c:v>HT21A1_102</c:v>
                </c:pt>
                <c:pt idx="24">
                  <c:v>HT21A2-01</c:v>
                </c:pt>
                <c:pt idx="25">
                  <c:v>HT21A2-02</c:v>
                </c:pt>
                <c:pt idx="26">
                  <c:v>HT21A2-03</c:v>
                </c:pt>
                <c:pt idx="27">
                  <c:v>HT21A2-04</c:v>
                </c:pt>
                <c:pt idx="28">
                  <c:v>HT21A2-05</c:v>
                </c:pt>
                <c:pt idx="29">
                  <c:v>HT21A2-06</c:v>
                </c:pt>
                <c:pt idx="30">
                  <c:v>HT21A2-08</c:v>
                </c:pt>
                <c:pt idx="31">
                  <c:v>HT21A2-09</c:v>
                </c:pt>
                <c:pt idx="32">
                  <c:v>HT21A2-10</c:v>
                </c:pt>
                <c:pt idx="33">
                  <c:v>HT21A2-11</c:v>
                </c:pt>
                <c:pt idx="34">
                  <c:v>HT21A2-15</c:v>
                </c:pt>
                <c:pt idx="35">
                  <c:v>HT21A2-16</c:v>
                </c:pt>
                <c:pt idx="36">
                  <c:v>KWS JETHRO</c:v>
                </c:pt>
                <c:pt idx="37">
                  <c:v>KWS LIVADO</c:v>
                </c:pt>
                <c:pt idx="38">
                  <c:v>KWS SERAFINO</c:v>
                </c:pt>
                <c:pt idx="39">
                  <c:v>KWS TREBIANO</c:v>
                </c:pt>
                <c:pt idx="40">
                  <c:v>LD01</c:v>
                </c:pt>
                <c:pt idx="41">
                  <c:v>LD02</c:v>
                </c:pt>
                <c:pt idx="42">
                  <c:v>LD03</c:v>
                </c:pt>
                <c:pt idx="43">
                  <c:v>LD10</c:v>
                </c:pt>
                <c:pt idx="44">
                  <c:v>LD11</c:v>
                </c:pt>
                <c:pt idx="45">
                  <c:v>LD12</c:v>
                </c:pt>
                <c:pt idx="46">
                  <c:v>LD15</c:v>
                </c:pt>
                <c:pt idx="47">
                  <c:v>LD16</c:v>
                </c:pt>
                <c:pt idx="48">
                  <c:v>LD18</c:v>
                </c:pt>
                <c:pt idx="49">
                  <c:v>LD21</c:v>
                </c:pt>
                <c:pt idx="50">
                  <c:v>LD24</c:v>
                </c:pt>
                <c:pt idx="51">
                  <c:v>LD25</c:v>
                </c:pt>
                <c:pt idx="52">
                  <c:v>LUMACO</c:v>
                </c:pt>
                <c:pt idx="53">
                  <c:v>RA02</c:v>
                </c:pt>
                <c:pt idx="54">
                  <c:v>RA04</c:v>
                </c:pt>
                <c:pt idx="55">
                  <c:v>RA06</c:v>
                </c:pt>
                <c:pt idx="56">
                  <c:v>RA07</c:v>
                </c:pt>
                <c:pt idx="57">
                  <c:v>RGT OMEAC</c:v>
                </c:pt>
                <c:pt idx="58">
                  <c:v>SU ALLAWI</c:v>
                </c:pt>
                <c:pt idx="59">
                  <c:v>BIKINI</c:v>
                </c:pt>
                <c:pt idx="60">
                  <c:v>HT21A2-07</c:v>
                </c:pt>
                <c:pt idx="61">
                  <c:v>HT21A2-12</c:v>
                </c:pt>
                <c:pt idx="62">
                  <c:v>AO10</c:v>
                </c:pt>
                <c:pt idx="63">
                  <c:v>AO12</c:v>
                </c:pt>
                <c:pt idx="64">
                  <c:v>AO15</c:v>
                </c:pt>
                <c:pt idx="65">
                  <c:v>DANKOWSKIE RUBIN</c:v>
                </c:pt>
                <c:pt idx="66">
                  <c:v>DUKATO</c:v>
                </c:pt>
                <c:pt idx="67">
                  <c:v>ELEGO</c:v>
                </c:pt>
                <c:pt idx="68">
                  <c:v>FD06</c:v>
                </c:pt>
                <c:pt idx="69">
                  <c:v>FD10</c:v>
                </c:pt>
                <c:pt idx="70">
                  <c:v>FD12</c:v>
                </c:pt>
                <c:pt idx="71">
                  <c:v>FD14</c:v>
                </c:pt>
                <c:pt idx="72">
                  <c:v>FD16</c:v>
                </c:pt>
                <c:pt idx="73">
                  <c:v>FD17</c:v>
                </c:pt>
                <c:pt idx="74">
                  <c:v>FD18</c:v>
                </c:pt>
                <c:pt idx="75">
                  <c:v>LD08</c:v>
                </c:pt>
                <c:pt idx="76">
                  <c:v>LD23</c:v>
                </c:pt>
                <c:pt idx="77">
                  <c:v>RA22</c:v>
                </c:pt>
                <c:pt idx="78">
                  <c:v>RGT MOLINAC</c:v>
                </c:pt>
                <c:pt idx="79">
                  <c:v>RGT RUTENAC</c:v>
                </c:pt>
                <c:pt idx="80">
                  <c:v>SU PERFORMER</c:v>
                </c:pt>
                <c:pt idx="81">
                  <c:v>VITALLO</c:v>
                </c:pt>
                <c:pt idx="82">
                  <c:v>AO07</c:v>
                </c:pt>
                <c:pt idx="83">
                  <c:v>FD09</c:v>
                </c:pt>
                <c:pt idx="84">
                  <c:v>FD13</c:v>
                </c:pt>
                <c:pt idx="85">
                  <c:v>HT21A2-13</c:v>
                </c:pt>
                <c:pt idx="86">
                  <c:v>LD07</c:v>
                </c:pt>
                <c:pt idx="87">
                  <c:v>LD09</c:v>
                </c:pt>
                <c:pt idx="88">
                  <c:v>LD13</c:v>
                </c:pt>
                <c:pt idx="89">
                  <c:v>LD17</c:v>
                </c:pt>
                <c:pt idx="90">
                  <c:v>LD19</c:v>
                </c:pt>
                <c:pt idx="91">
                  <c:v>LD22</c:v>
                </c:pt>
                <c:pt idx="92">
                  <c:v>MARCELO</c:v>
                </c:pt>
                <c:pt idx="93">
                  <c:v>OVID</c:v>
                </c:pt>
                <c:pt idx="94">
                  <c:v>RA01</c:v>
                </c:pt>
                <c:pt idx="95">
                  <c:v>HT21A2-14</c:v>
                </c:pt>
                <c:pt idx="96">
                  <c:v>AO08</c:v>
                </c:pt>
                <c:pt idx="97">
                  <c:v>BRASETTO</c:v>
                </c:pt>
                <c:pt idx="98">
                  <c:v>RGT OUESSAC</c:v>
                </c:pt>
                <c:pt idx="99">
                  <c:v>TRISKELL</c:v>
                </c:pt>
                <c:pt idx="100">
                  <c:v>AO11</c:v>
                </c:pt>
                <c:pt idx="101">
                  <c:v>BIKINI</c:v>
                </c:pt>
                <c:pt idx="102">
                  <c:v>FD01</c:v>
                </c:pt>
                <c:pt idx="103">
                  <c:v>LD14</c:v>
                </c:pt>
                <c:pt idx="104">
                  <c:v>LD20</c:v>
                </c:pt>
                <c:pt idx="105">
                  <c:v>RA05</c:v>
                </c:pt>
                <c:pt idx="106">
                  <c:v>RGT FLICKFLAC</c:v>
                </c:pt>
                <c:pt idx="107">
                  <c:v>RGT RUMINAC</c:v>
                </c:pt>
                <c:pt idx="108">
                  <c:v>RIPARO</c:v>
                </c:pt>
                <c:pt idx="109">
                  <c:v>HT21A2-17</c:v>
                </c:pt>
                <c:pt idx="110">
                  <c:v>KASYNO</c:v>
                </c:pt>
                <c:pt idx="111">
                  <c:v>AO01</c:v>
                </c:pt>
                <c:pt idx="112">
                  <c:v>AO04</c:v>
                </c:pt>
                <c:pt idx="113">
                  <c:v>AO09</c:v>
                </c:pt>
                <c:pt idx="114">
                  <c:v>FD02</c:v>
                </c:pt>
                <c:pt idx="115">
                  <c:v>RAPAX</c:v>
                </c:pt>
                <c:pt idx="116">
                  <c:v>AO13</c:v>
                </c:pt>
                <c:pt idx="117">
                  <c:v>LD04</c:v>
                </c:pt>
                <c:pt idx="118">
                  <c:v>AGOSTINO</c:v>
                </c:pt>
                <c:pt idx="119">
                  <c:v>AO16</c:v>
                </c:pt>
                <c:pt idx="120">
                  <c:v>FD05</c:v>
                </c:pt>
                <c:pt idx="121">
                  <c:v>PORTO</c:v>
                </c:pt>
                <c:pt idx="122">
                  <c:v>ADVERDO</c:v>
                </c:pt>
                <c:pt idx="123">
                  <c:v>RA17</c:v>
                </c:pt>
                <c:pt idx="124">
                  <c:v>RA19</c:v>
                </c:pt>
                <c:pt idx="125">
                  <c:v>RAMDAM</c:v>
                </c:pt>
                <c:pt idx="126">
                  <c:v>RGT EPIAC</c:v>
                </c:pt>
                <c:pt idx="127">
                  <c:v>BAROLO</c:v>
                </c:pt>
                <c:pt idx="128">
                  <c:v>RA03</c:v>
                </c:pt>
                <c:pt idx="129">
                  <c:v>RA09</c:v>
                </c:pt>
                <c:pt idx="130">
                  <c:v>RA20</c:v>
                </c:pt>
                <c:pt idx="131">
                  <c:v>RA13</c:v>
                </c:pt>
                <c:pt idx="132">
                  <c:v>RA15</c:v>
                </c:pt>
                <c:pt idx="133">
                  <c:v>RA16</c:v>
                </c:pt>
                <c:pt idx="134">
                  <c:v>RGT BELEMAC</c:v>
                </c:pt>
                <c:pt idx="135">
                  <c:v>AO03</c:v>
                </c:pt>
                <c:pt idx="136">
                  <c:v>GRENADO</c:v>
                </c:pt>
                <c:pt idx="137">
                  <c:v>LOMBARDO</c:v>
                </c:pt>
                <c:pt idx="138">
                  <c:v>RA08</c:v>
                </c:pt>
                <c:pt idx="139">
                  <c:v>RA12</c:v>
                </c:pt>
                <c:pt idx="140">
                  <c:v>RA21</c:v>
                </c:pt>
                <c:pt idx="141">
                  <c:v>FD03</c:v>
                </c:pt>
                <c:pt idx="142">
                  <c:v>RA11</c:v>
                </c:pt>
                <c:pt idx="143">
                  <c:v>KWS FIDO</c:v>
                </c:pt>
                <c:pt idx="144">
                  <c:v>RIVOLT</c:v>
                </c:pt>
                <c:pt idx="145">
                  <c:v>LANETTO</c:v>
                </c:pt>
                <c:pt idx="146">
                  <c:v>LD06</c:v>
                </c:pt>
                <c:pt idx="147">
                  <c:v>RA18</c:v>
                </c:pt>
                <c:pt idx="148">
                  <c:v>RILAX</c:v>
                </c:pt>
                <c:pt idx="149">
                  <c:v>AO02</c:v>
                </c:pt>
                <c:pt idx="150">
                  <c:v>FD04</c:v>
                </c:pt>
                <c:pt idx="151">
                  <c:v>KAULOS</c:v>
                </c:pt>
                <c:pt idx="152">
                  <c:v>SW TALENTRO</c:v>
                </c:pt>
                <c:pt idx="153">
                  <c:v>RA10</c:v>
                </c:pt>
                <c:pt idx="154">
                  <c:v>RA14</c:v>
                </c:pt>
                <c:pt idx="155">
                  <c:v>ADT01</c:v>
                </c:pt>
                <c:pt idx="156">
                  <c:v>ADT02</c:v>
                </c:pt>
                <c:pt idx="157">
                  <c:v>BIENVENU</c:v>
                </c:pt>
                <c:pt idx="158">
                  <c:v>LD05</c:v>
                </c:pt>
                <c:pt idx="159">
                  <c:v>KWS AVEO</c:v>
                </c:pt>
              </c:strCache>
            </c:strRef>
          </c:cat>
          <c:val>
            <c:numRef>
              <c:f>'moyennes rep+date'!$B$1:$B$160</c:f>
              <c:numCache>
                <c:formatCode>General</c:formatCode>
                <c:ptCount val="16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1.1100000000000001</c:v>
                </c:pt>
                <c:pt idx="60">
                  <c:v>1.1599999999999999</c:v>
                </c:pt>
                <c:pt idx="61">
                  <c:v>1.1599999999999999</c:v>
                </c:pt>
                <c:pt idx="62">
                  <c:v>1.25</c:v>
                </c:pt>
                <c:pt idx="63">
                  <c:v>1.25</c:v>
                </c:pt>
                <c:pt idx="64">
                  <c:v>1.25</c:v>
                </c:pt>
                <c:pt idx="65">
                  <c:v>1.25</c:v>
                </c:pt>
                <c:pt idx="66">
                  <c:v>1.25</c:v>
                </c:pt>
                <c:pt idx="67">
                  <c:v>1.25</c:v>
                </c:pt>
                <c:pt idx="68">
                  <c:v>1.25</c:v>
                </c:pt>
                <c:pt idx="69">
                  <c:v>1.25</c:v>
                </c:pt>
                <c:pt idx="70">
                  <c:v>1.25</c:v>
                </c:pt>
                <c:pt idx="71">
                  <c:v>1.25</c:v>
                </c:pt>
                <c:pt idx="72">
                  <c:v>1.25</c:v>
                </c:pt>
                <c:pt idx="73">
                  <c:v>1.25</c:v>
                </c:pt>
                <c:pt idx="74">
                  <c:v>1.25</c:v>
                </c:pt>
                <c:pt idx="75">
                  <c:v>1.25</c:v>
                </c:pt>
                <c:pt idx="76">
                  <c:v>1.25</c:v>
                </c:pt>
                <c:pt idx="77">
                  <c:v>1.25</c:v>
                </c:pt>
                <c:pt idx="78">
                  <c:v>1.25</c:v>
                </c:pt>
                <c:pt idx="79">
                  <c:v>1.25</c:v>
                </c:pt>
                <c:pt idx="80">
                  <c:v>1.25</c:v>
                </c:pt>
                <c:pt idx="81">
                  <c:v>1.25</c:v>
                </c:pt>
                <c:pt idx="82">
                  <c:v>1.5</c:v>
                </c:pt>
                <c:pt idx="83">
                  <c:v>1.5</c:v>
                </c:pt>
                <c:pt idx="84">
                  <c:v>1.5</c:v>
                </c:pt>
                <c:pt idx="85">
                  <c:v>1.5</c:v>
                </c:pt>
                <c:pt idx="86">
                  <c:v>1.5</c:v>
                </c:pt>
                <c:pt idx="87">
                  <c:v>1.5</c:v>
                </c:pt>
                <c:pt idx="88">
                  <c:v>1.5</c:v>
                </c:pt>
                <c:pt idx="89">
                  <c:v>1.5</c:v>
                </c:pt>
                <c:pt idx="90">
                  <c:v>1.5</c:v>
                </c:pt>
                <c:pt idx="91">
                  <c:v>1.5</c:v>
                </c:pt>
                <c:pt idx="92">
                  <c:v>1.5</c:v>
                </c:pt>
                <c:pt idx="93">
                  <c:v>1.5</c:v>
                </c:pt>
                <c:pt idx="94">
                  <c:v>1.5</c:v>
                </c:pt>
                <c:pt idx="95">
                  <c:v>1.66</c:v>
                </c:pt>
                <c:pt idx="96">
                  <c:v>1.75</c:v>
                </c:pt>
                <c:pt idx="97">
                  <c:v>1.75</c:v>
                </c:pt>
                <c:pt idx="98">
                  <c:v>1.75</c:v>
                </c:pt>
                <c:pt idx="99">
                  <c:v>1.75</c:v>
                </c:pt>
                <c:pt idx="100">
                  <c:v>2</c:v>
                </c:pt>
                <c:pt idx="101">
                  <c:v>2</c:v>
                </c:pt>
                <c:pt idx="102">
                  <c:v>2</c:v>
                </c:pt>
                <c:pt idx="103">
                  <c:v>2</c:v>
                </c:pt>
                <c:pt idx="104">
                  <c:v>2</c:v>
                </c:pt>
                <c:pt idx="105">
                  <c:v>2</c:v>
                </c:pt>
                <c:pt idx="106">
                  <c:v>2</c:v>
                </c:pt>
                <c:pt idx="107">
                  <c:v>2</c:v>
                </c:pt>
                <c:pt idx="108">
                  <c:v>2</c:v>
                </c:pt>
                <c:pt idx="109">
                  <c:v>2.16</c:v>
                </c:pt>
                <c:pt idx="110">
                  <c:v>2.2000000000000002</c:v>
                </c:pt>
                <c:pt idx="111">
                  <c:v>2.5</c:v>
                </c:pt>
                <c:pt idx="112">
                  <c:v>2.5</c:v>
                </c:pt>
                <c:pt idx="113">
                  <c:v>2.5</c:v>
                </c:pt>
                <c:pt idx="114">
                  <c:v>2.5</c:v>
                </c:pt>
                <c:pt idx="115">
                  <c:v>2.5</c:v>
                </c:pt>
                <c:pt idx="116">
                  <c:v>2.75</c:v>
                </c:pt>
                <c:pt idx="117">
                  <c:v>2.75</c:v>
                </c:pt>
                <c:pt idx="118">
                  <c:v>3</c:v>
                </c:pt>
                <c:pt idx="119">
                  <c:v>3</c:v>
                </c:pt>
                <c:pt idx="120">
                  <c:v>3</c:v>
                </c:pt>
                <c:pt idx="121">
                  <c:v>3</c:v>
                </c:pt>
                <c:pt idx="122">
                  <c:v>3.25</c:v>
                </c:pt>
                <c:pt idx="123">
                  <c:v>3.25</c:v>
                </c:pt>
                <c:pt idx="124">
                  <c:v>3.25</c:v>
                </c:pt>
                <c:pt idx="125">
                  <c:v>3.25</c:v>
                </c:pt>
                <c:pt idx="126">
                  <c:v>3.25</c:v>
                </c:pt>
                <c:pt idx="127">
                  <c:v>3.5</c:v>
                </c:pt>
                <c:pt idx="128">
                  <c:v>3.5</c:v>
                </c:pt>
                <c:pt idx="129">
                  <c:v>3.5</c:v>
                </c:pt>
                <c:pt idx="130">
                  <c:v>3.75</c:v>
                </c:pt>
                <c:pt idx="131">
                  <c:v>4</c:v>
                </c:pt>
                <c:pt idx="132">
                  <c:v>4</c:v>
                </c:pt>
                <c:pt idx="133">
                  <c:v>4</c:v>
                </c:pt>
                <c:pt idx="134">
                  <c:v>4.25</c:v>
                </c:pt>
                <c:pt idx="135">
                  <c:v>4.5</c:v>
                </c:pt>
                <c:pt idx="136">
                  <c:v>4.5</c:v>
                </c:pt>
                <c:pt idx="137">
                  <c:v>4.5</c:v>
                </c:pt>
                <c:pt idx="138">
                  <c:v>4.5</c:v>
                </c:pt>
                <c:pt idx="139">
                  <c:v>4.5</c:v>
                </c:pt>
                <c:pt idx="140">
                  <c:v>4.5</c:v>
                </c:pt>
                <c:pt idx="141">
                  <c:v>4.75</c:v>
                </c:pt>
                <c:pt idx="142">
                  <c:v>4.75</c:v>
                </c:pt>
                <c:pt idx="143">
                  <c:v>4.84</c:v>
                </c:pt>
                <c:pt idx="144">
                  <c:v>5</c:v>
                </c:pt>
                <c:pt idx="145">
                  <c:v>5.25</c:v>
                </c:pt>
                <c:pt idx="146">
                  <c:v>5.25</c:v>
                </c:pt>
                <c:pt idx="147">
                  <c:v>5.25</c:v>
                </c:pt>
                <c:pt idx="148">
                  <c:v>5.25</c:v>
                </c:pt>
                <c:pt idx="149">
                  <c:v>5.5</c:v>
                </c:pt>
                <c:pt idx="150">
                  <c:v>5.5</c:v>
                </c:pt>
                <c:pt idx="151">
                  <c:v>5.5</c:v>
                </c:pt>
                <c:pt idx="152">
                  <c:v>5.5</c:v>
                </c:pt>
                <c:pt idx="153">
                  <c:v>6</c:v>
                </c:pt>
                <c:pt idx="154">
                  <c:v>6</c:v>
                </c:pt>
                <c:pt idx="155">
                  <c:v>6.5</c:v>
                </c:pt>
                <c:pt idx="156">
                  <c:v>7</c:v>
                </c:pt>
                <c:pt idx="157">
                  <c:v>7</c:v>
                </c:pt>
                <c:pt idx="158">
                  <c:v>7</c:v>
                </c:pt>
                <c:pt idx="159">
                  <c:v>7.5</c:v>
                </c:pt>
              </c:numCache>
            </c:numRef>
          </c:val>
          <c:extLst>
            <c:ext xmlns:c16="http://schemas.microsoft.com/office/drawing/2014/chart" uri="{C3380CC4-5D6E-409C-BE32-E72D297353CC}">
              <c16:uniqueId val="{00000000-2909-488B-B36C-8CC8A794EE0E}"/>
            </c:ext>
          </c:extLst>
        </c:ser>
        <c:dLbls>
          <c:showLegendKey val="0"/>
          <c:showVal val="0"/>
          <c:showCatName val="0"/>
          <c:showSerName val="0"/>
          <c:showPercent val="0"/>
          <c:showBubbleSize val="0"/>
        </c:dLbls>
        <c:gapWidth val="219"/>
        <c:overlap val="-27"/>
        <c:axId val="2016504079"/>
        <c:axId val="2016504495"/>
      </c:barChart>
      <c:catAx>
        <c:axId val="201650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fr-FR"/>
          </a:p>
        </c:txPr>
        <c:crossAx val="2016504495"/>
        <c:crosses val="autoZero"/>
        <c:auto val="1"/>
        <c:lblAlgn val="ctr"/>
        <c:lblOffset val="100"/>
        <c:noMultiLvlLbl val="0"/>
      </c:catAx>
      <c:valAx>
        <c:axId val="2016504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2016504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8" b="0" i="0" u="none" strike="noStrike" kern="1200" spc="0" baseline="0">
                <a:solidFill>
                  <a:schemeClr val="tx1">
                    <a:lumMod val="65000"/>
                    <a:lumOff val="35000"/>
                  </a:schemeClr>
                </a:solidFill>
                <a:latin typeface="+mn-lt"/>
                <a:ea typeface="+mn-ea"/>
                <a:cs typeface="+mn-cs"/>
              </a:defRPr>
            </a:pPr>
            <a:r>
              <a:rPr lang="fr-FR" sz="798"/>
              <a:t>panel</a:t>
            </a:r>
            <a:r>
              <a:rPr lang="fr-FR" sz="798" baseline="0"/>
              <a:t> Cymmit-Tri 2015 - Secobra</a:t>
            </a:r>
            <a:endParaRPr lang="fr-FR" sz="8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'moyennes rep+date'!$D$1:$D$100</c:f>
              <c:strCache>
                <c:ptCount val="100"/>
                <c:pt idx="0">
                  <c:v>CIMMYT_021</c:v>
                </c:pt>
                <c:pt idx="1">
                  <c:v>CIMMYT_061</c:v>
                </c:pt>
                <c:pt idx="2">
                  <c:v>CIMMYT_067</c:v>
                </c:pt>
                <c:pt idx="3">
                  <c:v>CIMMYT_089</c:v>
                </c:pt>
                <c:pt idx="4">
                  <c:v>CIMMYT_100</c:v>
                </c:pt>
                <c:pt idx="5">
                  <c:v>CIMMYT_058</c:v>
                </c:pt>
                <c:pt idx="6">
                  <c:v>CIMMYT_070</c:v>
                </c:pt>
                <c:pt idx="7">
                  <c:v>CIMMYT_079</c:v>
                </c:pt>
                <c:pt idx="8">
                  <c:v>CIMMYT_011</c:v>
                </c:pt>
                <c:pt idx="9">
                  <c:v>CIMMYT_014</c:v>
                </c:pt>
                <c:pt idx="10">
                  <c:v>CIMMYT_059</c:v>
                </c:pt>
                <c:pt idx="11">
                  <c:v>CIMMYT_075</c:v>
                </c:pt>
                <c:pt idx="12">
                  <c:v>CIMMYT_095</c:v>
                </c:pt>
                <c:pt idx="13">
                  <c:v>CIMMYT_097</c:v>
                </c:pt>
                <c:pt idx="14">
                  <c:v>CIMMYT_096</c:v>
                </c:pt>
                <c:pt idx="15">
                  <c:v>CIMMYT_084</c:v>
                </c:pt>
                <c:pt idx="16">
                  <c:v>CIMMYT_080</c:v>
                </c:pt>
                <c:pt idx="17">
                  <c:v>CIMMYT_094</c:v>
                </c:pt>
                <c:pt idx="18">
                  <c:v>CIMMYT_098</c:v>
                </c:pt>
                <c:pt idx="19">
                  <c:v>CIMMYT_077</c:v>
                </c:pt>
                <c:pt idx="20">
                  <c:v>CIMMYT_029</c:v>
                </c:pt>
                <c:pt idx="21">
                  <c:v>CIMMYT_049</c:v>
                </c:pt>
                <c:pt idx="22">
                  <c:v>CIMMYT_051</c:v>
                </c:pt>
                <c:pt idx="23">
                  <c:v>CIMMYT_076</c:v>
                </c:pt>
                <c:pt idx="24">
                  <c:v>CIMMYT_090</c:v>
                </c:pt>
                <c:pt idx="25">
                  <c:v>CIMMYT_009</c:v>
                </c:pt>
                <c:pt idx="26">
                  <c:v>CIMMYT_019</c:v>
                </c:pt>
                <c:pt idx="27">
                  <c:v>CIMMYT_026</c:v>
                </c:pt>
                <c:pt idx="28">
                  <c:v>CIMMYT_039</c:v>
                </c:pt>
                <c:pt idx="29">
                  <c:v>CIMMYT_053</c:v>
                </c:pt>
                <c:pt idx="30">
                  <c:v>CIMMYT_057</c:v>
                </c:pt>
                <c:pt idx="31">
                  <c:v>CIMMYT_024</c:v>
                </c:pt>
                <c:pt idx="32">
                  <c:v>CIMMYT_062</c:v>
                </c:pt>
                <c:pt idx="33">
                  <c:v>CIMMYT_069</c:v>
                </c:pt>
                <c:pt idx="34">
                  <c:v>CIMMYT_081</c:v>
                </c:pt>
                <c:pt idx="35">
                  <c:v>CIMMYT_012</c:v>
                </c:pt>
                <c:pt idx="36">
                  <c:v>CIMMYT_027</c:v>
                </c:pt>
                <c:pt idx="37">
                  <c:v>CIMMYT_015</c:v>
                </c:pt>
                <c:pt idx="38">
                  <c:v>CIMMYT_040</c:v>
                </c:pt>
                <c:pt idx="39">
                  <c:v>CIMMYT_056</c:v>
                </c:pt>
                <c:pt idx="40">
                  <c:v>CIMMYT_073</c:v>
                </c:pt>
                <c:pt idx="41">
                  <c:v>CIMMYT_078</c:v>
                </c:pt>
                <c:pt idx="42">
                  <c:v>CIMMYT_007</c:v>
                </c:pt>
                <c:pt idx="43">
                  <c:v>CIMMYT_082</c:v>
                </c:pt>
                <c:pt idx="44">
                  <c:v>CIMMYT_099</c:v>
                </c:pt>
                <c:pt idx="45">
                  <c:v>CIMMYT_003</c:v>
                </c:pt>
                <c:pt idx="46">
                  <c:v>CIMMYT_022</c:v>
                </c:pt>
                <c:pt idx="47">
                  <c:v>CIMMYT_042</c:v>
                </c:pt>
                <c:pt idx="48">
                  <c:v>CIMMYT_020</c:v>
                </c:pt>
                <c:pt idx="49">
                  <c:v>CIMMYT_035</c:v>
                </c:pt>
                <c:pt idx="50">
                  <c:v>CIMMYT_037</c:v>
                </c:pt>
                <c:pt idx="51">
                  <c:v>CIMMYT_047</c:v>
                </c:pt>
                <c:pt idx="52">
                  <c:v>CIMMYT_055</c:v>
                </c:pt>
                <c:pt idx="53">
                  <c:v>CIMMYT_068</c:v>
                </c:pt>
                <c:pt idx="54">
                  <c:v>CIMMYT_013</c:v>
                </c:pt>
                <c:pt idx="55">
                  <c:v>CIMMYT_017</c:v>
                </c:pt>
                <c:pt idx="56">
                  <c:v>CIMMYT_023</c:v>
                </c:pt>
                <c:pt idx="57">
                  <c:v>CIMMYT_036</c:v>
                </c:pt>
                <c:pt idx="58">
                  <c:v>CIMMYT_093</c:v>
                </c:pt>
                <c:pt idx="59">
                  <c:v>CIMMYT_010</c:v>
                </c:pt>
                <c:pt idx="60">
                  <c:v>CIMMYT_048</c:v>
                </c:pt>
                <c:pt idx="61">
                  <c:v>CIMMYT_054</c:v>
                </c:pt>
                <c:pt idx="62">
                  <c:v>CIMMYT_060</c:v>
                </c:pt>
                <c:pt idx="63">
                  <c:v>CIMMYT_087</c:v>
                </c:pt>
                <c:pt idx="64">
                  <c:v>CIMMYT_088</c:v>
                </c:pt>
                <c:pt idx="65">
                  <c:v>CIMMYT_016</c:v>
                </c:pt>
                <c:pt idx="66">
                  <c:v>CIMMYT_028</c:v>
                </c:pt>
                <c:pt idx="67">
                  <c:v>CIMMYT_065</c:v>
                </c:pt>
                <c:pt idx="68">
                  <c:v>CIMMYT_085</c:v>
                </c:pt>
                <c:pt idx="69">
                  <c:v>CIMMYT_032</c:v>
                </c:pt>
                <c:pt idx="70">
                  <c:v>CIMMYT_043</c:v>
                </c:pt>
                <c:pt idx="71">
                  <c:v>CIMMYT_064</c:v>
                </c:pt>
                <c:pt idx="72">
                  <c:v>CIMMYT_083</c:v>
                </c:pt>
                <c:pt idx="73">
                  <c:v>CIMMYT_052</c:v>
                </c:pt>
                <c:pt idx="74">
                  <c:v>CIMMYT_066</c:v>
                </c:pt>
                <c:pt idx="75">
                  <c:v>CIMMYT_092</c:v>
                </c:pt>
                <c:pt idx="76">
                  <c:v>CIMMYT_008</c:v>
                </c:pt>
                <c:pt idx="77">
                  <c:v>CIMMYT_038</c:v>
                </c:pt>
                <c:pt idx="78">
                  <c:v>CIMMYT_025</c:v>
                </c:pt>
                <c:pt idx="79">
                  <c:v>CIMMYT_045</c:v>
                </c:pt>
                <c:pt idx="80">
                  <c:v>CIMMYT_050</c:v>
                </c:pt>
                <c:pt idx="81">
                  <c:v>CIMMYT_071</c:v>
                </c:pt>
                <c:pt idx="82">
                  <c:v>CIMMYT_018</c:v>
                </c:pt>
                <c:pt idx="83">
                  <c:v>CIMMYT_034</c:v>
                </c:pt>
                <c:pt idx="84">
                  <c:v>CIMMYT_044</c:v>
                </c:pt>
                <c:pt idx="85">
                  <c:v>CIMMYT_002</c:v>
                </c:pt>
                <c:pt idx="86">
                  <c:v>CIMMYT_074</c:v>
                </c:pt>
                <c:pt idx="87">
                  <c:v>CIMMYT_086</c:v>
                </c:pt>
                <c:pt idx="88">
                  <c:v>CIMMYT_031</c:v>
                </c:pt>
                <c:pt idx="89">
                  <c:v>CIMMYT_046</c:v>
                </c:pt>
                <c:pt idx="90">
                  <c:v>CIMMYT_072</c:v>
                </c:pt>
                <c:pt idx="91">
                  <c:v>CIMMYT_091</c:v>
                </c:pt>
                <c:pt idx="92">
                  <c:v>CIMMYT_004</c:v>
                </c:pt>
                <c:pt idx="93">
                  <c:v>CIMMYT_005</c:v>
                </c:pt>
                <c:pt idx="94">
                  <c:v>CIMMYT_033</c:v>
                </c:pt>
                <c:pt idx="95">
                  <c:v>CIMMYT_041</c:v>
                </c:pt>
                <c:pt idx="96">
                  <c:v>CIMMYT_063</c:v>
                </c:pt>
                <c:pt idx="97">
                  <c:v>CIMMYT_001</c:v>
                </c:pt>
                <c:pt idx="98">
                  <c:v>CIMMYT_006</c:v>
                </c:pt>
                <c:pt idx="99">
                  <c:v>CIMMYT_030</c:v>
                </c:pt>
              </c:strCache>
            </c:strRef>
          </c:cat>
          <c:val>
            <c:numRef>
              <c:f>'moyennes rep+date'!$E$1:$E$100</c:f>
              <c:numCache>
                <c:formatCode>General</c:formatCode>
                <c:ptCount val="100"/>
                <c:pt idx="0">
                  <c:v>1</c:v>
                </c:pt>
                <c:pt idx="1">
                  <c:v>1</c:v>
                </c:pt>
                <c:pt idx="2">
                  <c:v>1</c:v>
                </c:pt>
                <c:pt idx="3">
                  <c:v>1</c:v>
                </c:pt>
                <c:pt idx="4">
                  <c:v>1</c:v>
                </c:pt>
                <c:pt idx="5">
                  <c:v>1.25</c:v>
                </c:pt>
                <c:pt idx="6">
                  <c:v>1.5</c:v>
                </c:pt>
                <c:pt idx="7">
                  <c:v>1.5</c:v>
                </c:pt>
                <c:pt idx="8">
                  <c:v>2</c:v>
                </c:pt>
                <c:pt idx="9">
                  <c:v>2</c:v>
                </c:pt>
                <c:pt idx="10">
                  <c:v>2</c:v>
                </c:pt>
                <c:pt idx="11">
                  <c:v>2</c:v>
                </c:pt>
                <c:pt idx="12">
                  <c:v>2</c:v>
                </c:pt>
                <c:pt idx="13">
                  <c:v>2</c:v>
                </c:pt>
                <c:pt idx="14">
                  <c:v>2.5</c:v>
                </c:pt>
                <c:pt idx="15">
                  <c:v>2.75</c:v>
                </c:pt>
                <c:pt idx="16">
                  <c:v>3</c:v>
                </c:pt>
                <c:pt idx="17">
                  <c:v>3</c:v>
                </c:pt>
                <c:pt idx="18">
                  <c:v>3</c:v>
                </c:pt>
                <c:pt idx="19">
                  <c:v>3.16</c:v>
                </c:pt>
                <c:pt idx="20">
                  <c:v>3.25</c:v>
                </c:pt>
                <c:pt idx="21">
                  <c:v>3.25</c:v>
                </c:pt>
                <c:pt idx="22">
                  <c:v>3.5</c:v>
                </c:pt>
                <c:pt idx="23">
                  <c:v>3.5</c:v>
                </c:pt>
                <c:pt idx="24">
                  <c:v>3.5</c:v>
                </c:pt>
                <c:pt idx="25">
                  <c:v>3.75</c:v>
                </c:pt>
                <c:pt idx="26">
                  <c:v>3.75</c:v>
                </c:pt>
                <c:pt idx="27">
                  <c:v>3.75</c:v>
                </c:pt>
                <c:pt idx="28">
                  <c:v>3.75</c:v>
                </c:pt>
                <c:pt idx="29">
                  <c:v>3.75</c:v>
                </c:pt>
                <c:pt idx="30">
                  <c:v>3.75</c:v>
                </c:pt>
                <c:pt idx="31">
                  <c:v>4</c:v>
                </c:pt>
                <c:pt idx="32">
                  <c:v>4</c:v>
                </c:pt>
                <c:pt idx="33">
                  <c:v>4</c:v>
                </c:pt>
                <c:pt idx="34">
                  <c:v>4</c:v>
                </c:pt>
                <c:pt idx="35">
                  <c:v>4.25</c:v>
                </c:pt>
                <c:pt idx="36">
                  <c:v>4.25</c:v>
                </c:pt>
                <c:pt idx="37">
                  <c:v>4.5</c:v>
                </c:pt>
                <c:pt idx="38">
                  <c:v>4.5</c:v>
                </c:pt>
                <c:pt idx="39">
                  <c:v>4.5</c:v>
                </c:pt>
                <c:pt idx="40">
                  <c:v>4.5</c:v>
                </c:pt>
                <c:pt idx="41">
                  <c:v>4.5</c:v>
                </c:pt>
                <c:pt idx="42">
                  <c:v>4.75</c:v>
                </c:pt>
                <c:pt idx="43">
                  <c:v>4.75</c:v>
                </c:pt>
                <c:pt idx="44">
                  <c:v>4.75</c:v>
                </c:pt>
                <c:pt idx="45">
                  <c:v>5</c:v>
                </c:pt>
                <c:pt idx="46">
                  <c:v>5</c:v>
                </c:pt>
                <c:pt idx="47">
                  <c:v>5</c:v>
                </c:pt>
                <c:pt idx="48">
                  <c:v>5.25</c:v>
                </c:pt>
                <c:pt idx="49">
                  <c:v>5.25</c:v>
                </c:pt>
                <c:pt idx="50">
                  <c:v>5.25</c:v>
                </c:pt>
                <c:pt idx="51">
                  <c:v>5.25</c:v>
                </c:pt>
                <c:pt idx="52">
                  <c:v>5.25</c:v>
                </c:pt>
                <c:pt idx="53">
                  <c:v>5.25</c:v>
                </c:pt>
                <c:pt idx="54">
                  <c:v>5.5</c:v>
                </c:pt>
                <c:pt idx="55">
                  <c:v>5.5</c:v>
                </c:pt>
                <c:pt idx="56">
                  <c:v>5.5</c:v>
                </c:pt>
                <c:pt idx="57">
                  <c:v>5.5</c:v>
                </c:pt>
                <c:pt idx="58">
                  <c:v>5.5</c:v>
                </c:pt>
                <c:pt idx="59">
                  <c:v>5.75</c:v>
                </c:pt>
                <c:pt idx="60">
                  <c:v>5.75</c:v>
                </c:pt>
                <c:pt idx="61">
                  <c:v>5.75</c:v>
                </c:pt>
                <c:pt idx="62">
                  <c:v>5.75</c:v>
                </c:pt>
                <c:pt idx="63">
                  <c:v>5.75</c:v>
                </c:pt>
                <c:pt idx="64">
                  <c:v>6</c:v>
                </c:pt>
                <c:pt idx="65">
                  <c:v>6.25</c:v>
                </c:pt>
                <c:pt idx="66">
                  <c:v>6.25</c:v>
                </c:pt>
                <c:pt idx="67">
                  <c:v>6.25</c:v>
                </c:pt>
                <c:pt idx="68">
                  <c:v>6.25</c:v>
                </c:pt>
                <c:pt idx="69">
                  <c:v>6.5</c:v>
                </c:pt>
                <c:pt idx="70">
                  <c:v>6.5</c:v>
                </c:pt>
                <c:pt idx="71">
                  <c:v>6.5</c:v>
                </c:pt>
                <c:pt idx="72">
                  <c:v>6.5</c:v>
                </c:pt>
                <c:pt idx="73">
                  <c:v>6.75</c:v>
                </c:pt>
                <c:pt idx="74">
                  <c:v>6.75</c:v>
                </c:pt>
                <c:pt idx="75">
                  <c:v>6.75</c:v>
                </c:pt>
                <c:pt idx="76">
                  <c:v>7</c:v>
                </c:pt>
                <c:pt idx="77">
                  <c:v>7</c:v>
                </c:pt>
                <c:pt idx="78">
                  <c:v>7.25</c:v>
                </c:pt>
                <c:pt idx="79">
                  <c:v>7.25</c:v>
                </c:pt>
                <c:pt idx="80">
                  <c:v>7.25</c:v>
                </c:pt>
                <c:pt idx="81">
                  <c:v>7.25</c:v>
                </c:pt>
                <c:pt idx="82">
                  <c:v>7.75</c:v>
                </c:pt>
                <c:pt idx="83">
                  <c:v>7.75</c:v>
                </c:pt>
                <c:pt idx="84">
                  <c:v>7.75</c:v>
                </c:pt>
                <c:pt idx="85">
                  <c:v>8</c:v>
                </c:pt>
                <c:pt idx="86">
                  <c:v>8</c:v>
                </c:pt>
                <c:pt idx="87">
                  <c:v>8</c:v>
                </c:pt>
                <c:pt idx="88">
                  <c:v>8.25</c:v>
                </c:pt>
                <c:pt idx="89">
                  <c:v>8.25</c:v>
                </c:pt>
                <c:pt idx="90">
                  <c:v>8.25</c:v>
                </c:pt>
                <c:pt idx="91">
                  <c:v>8.25</c:v>
                </c:pt>
                <c:pt idx="92">
                  <c:v>8.5</c:v>
                </c:pt>
                <c:pt idx="93">
                  <c:v>8.5</c:v>
                </c:pt>
                <c:pt idx="94">
                  <c:v>8.5</c:v>
                </c:pt>
                <c:pt idx="95">
                  <c:v>8.5</c:v>
                </c:pt>
                <c:pt idx="96">
                  <c:v>8.5</c:v>
                </c:pt>
                <c:pt idx="97">
                  <c:v>8.75</c:v>
                </c:pt>
                <c:pt idx="98">
                  <c:v>9</c:v>
                </c:pt>
                <c:pt idx="99">
                  <c:v>9</c:v>
                </c:pt>
              </c:numCache>
            </c:numRef>
          </c:val>
          <c:extLst>
            <c:ext xmlns:c16="http://schemas.microsoft.com/office/drawing/2014/chart" uri="{C3380CC4-5D6E-409C-BE32-E72D297353CC}">
              <c16:uniqueId val="{00000000-592E-434A-A1E1-48DD94E0B03D}"/>
            </c:ext>
          </c:extLst>
        </c:ser>
        <c:dLbls>
          <c:showLegendKey val="0"/>
          <c:showVal val="0"/>
          <c:showCatName val="0"/>
          <c:showSerName val="0"/>
          <c:showPercent val="0"/>
          <c:showBubbleSize val="0"/>
        </c:dLbls>
        <c:gapWidth val="219"/>
        <c:overlap val="-27"/>
        <c:axId val="240035167"/>
        <c:axId val="1"/>
      </c:barChart>
      <c:catAx>
        <c:axId val="240035167"/>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499"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mn-lt"/>
                <a:ea typeface="+mn-ea"/>
                <a:cs typeface="+mn-cs"/>
              </a:defRPr>
            </a:pPr>
            <a:endParaRPr lang="fr-FR"/>
          </a:p>
        </c:txPr>
        <c:crossAx val="240035167"/>
        <c:crosses val="autoZero"/>
        <c:crossBetween val="between"/>
      </c:valAx>
      <c:spPr>
        <a:noFill/>
        <a:ln w="25349">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8" b="0" i="0" u="none" strike="noStrike" kern="1200" spc="0" baseline="0">
                <a:solidFill>
                  <a:schemeClr val="tx1">
                    <a:lumMod val="65000"/>
                    <a:lumOff val="35000"/>
                  </a:schemeClr>
                </a:solidFill>
                <a:latin typeface="+mn-lt"/>
                <a:ea typeface="+mn-ea"/>
                <a:cs typeface="+mn-cs"/>
              </a:defRPr>
            </a:pPr>
            <a:r>
              <a:rPr lang="fr-FR" sz="798"/>
              <a:t>panel</a:t>
            </a:r>
            <a:r>
              <a:rPr lang="fr-FR" sz="798" baseline="0"/>
              <a:t> France- Tri 2015 - AgriObtention</a:t>
            </a:r>
            <a:endParaRPr lang="fr-FR" sz="8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Feuil1!$A$1:$A$138</c:f>
              <c:strCache>
                <c:ptCount val="138"/>
                <c:pt idx="0">
                  <c:v>Rgt Omeac</c:v>
                </c:pt>
                <c:pt idx="1">
                  <c:v>Triskell</c:v>
                </c:pt>
                <c:pt idx="2">
                  <c:v>FD08</c:v>
                </c:pt>
                <c:pt idx="3">
                  <c:v>LD10</c:v>
                </c:pt>
                <c:pt idx="4">
                  <c:v>LD12</c:v>
                </c:pt>
                <c:pt idx="5">
                  <c:v>LD16</c:v>
                </c:pt>
                <c:pt idx="6">
                  <c:v>LD18</c:v>
                </c:pt>
                <c:pt idx="7">
                  <c:v>LD23</c:v>
                </c:pt>
                <c:pt idx="8">
                  <c:v>Lumaco</c:v>
                </c:pt>
                <c:pt idx="9">
                  <c:v>RA07</c:v>
                </c:pt>
                <c:pt idx="10">
                  <c:v>ADT04</c:v>
                </c:pt>
                <c:pt idx="11">
                  <c:v>ADT05</c:v>
                </c:pt>
                <c:pt idx="12">
                  <c:v>ADT06</c:v>
                </c:pt>
                <c:pt idx="13">
                  <c:v>ADT07</c:v>
                </c:pt>
                <c:pt idx="14">
                  <c:v>13ht18.13</c:v>
                </c:pt>
                <c:pt idx="15">
                  <c:v>KWS Jethro </c:v>
                </c:pt>
                <c:pt idx="16">
                  <c:v>Marcelo</c:v>
                </c:pt>
                <c:pt idx="17">
                  <c:v>LD13</c:v>
                </c:pt>
                <c:pt idx="18">
                  <c:v>LD24</c:v>
                </c:pt>
                <c:pt idx="19">
                  <c:v>Elego</c:v>
                </c:pt>
                <c:pt idx="20">
                  <c:v>Su Performer</c:v>
                </c:pt>
                <c:pt idx="21">
                  <c:v>HT21A2-02</c:v>
                </c:pt>
                <c:pt idx="22">
                  <c:v>HT21A2-04</c:v>
                </c:pt>
                <c:pt idx="23">
                  <c:v>FD06</c:v>
                </c:pt>
                <c:pt idx="24">
                  <c:v>FD17</c:v>
                </c:pt>
                <c:pt idx="25">
                  <c:v>LD11</c:v>
                </c:pt>
                <c:pt idx="26">
                  <c:v>LD21</c:v>
                </c:pt>
                <c:pt idx="27">
                  <c:v>AO08</c:v>
                </c:pt>
                <c:pt idx="28">
                  <c:v>AO15</c:v>
                </c:pt>
                <c:pt idx="29">
                  <c:v>AO17</c:v>
                </c:pt>
                <c:pt idx="30">
                  <c:v>RA02</c:v>
                </c:pt>
                <c:pt idx="31">
                  <c:v>ADT03</c:v>
                </c:pt>
                <c:pt idx="32">
                  <c:v>Dankowskie Rubin</c:v>
                </c:pt>
                <c:pt idx="33">
                  <c:v>Dukato</c:v>
                </c:pt>
                <c:pt idx="34">
                  <c:v>HT21A2-07</c:v>
                </c:pt>
                <c:pt idx="35">
                  <c:v>HT21A2-12</c:v>
                </c:pt>
                <c:pt idx="36">
                  <c:v>LD01</c:v>
                </c:pt>
                <c:pt idx="37">
                  <c:v>LD02</c:v>
                </c:pt>
                <c:pt idx="38">
                  <c:v>LD03</c:v>
                </c:pt>
                <c:pt idx="39">
                  <c:v>LD07</c:v>
                </c:pt>
                <c:pt idx="40">
                  <c:v>AO06</c:v>
                </c:pt>
                <c:pt idx="41">
                  <c:v>RA06</c:v>
                </c:pt>
                <c:pt idx="42">
                  <c:v>KWS Trebiano</c:v>
                </c:pt>
                <c:pt idx="43">
                  <c:v>Su Allawi</c:v>
                </c:pt>
                <c:pt idx="44">
                  <c:v>HT21A2-17</c:v>
                </c:pt>
                <c:pt idx="45">
                  <c:v>FD18</c:v>
                </c:pt>
                <c:pt idx="46">
                  <c:v>RA04</c:v>
                </c:pt>
                <c:pt idx="47">
                  <c:v>RA05</c:v>
                </c:pt>
                <c:pt idx="48">
                  <c:v>Brasetto</c:v>
                </c:pt>
                <c:pt idx="49">
                  <c:v>Dankowskie Amber</c:v>
                </c:pt>
                <c:pt idx="50">
                  <c:v>Ovid</c:v>
                </c:pt>
                <c:pt idx="51">
                  <c:v>HT21A2-14</c:v>
                </c:pt>
                <c:pt idx="52">
                  <c:v>Brehat</c:v>
                </c:pt>
                <c:pt idx="53">
                  <c:v>LD15</c:v>
                </c:pt>
                <c:pt idx="54">
                  <c:v>LD17</c:v>
                </c:pt>
                <c:pt idx="55">
                  <c:v>LD25</c:v>
                </c:pt>
                <c:pt idx="56">
                  <c:v>AO05</c:v>
                </c:pt>
                <c:pt idx="57">
                  <c:v>AO14</c:v>
                </c:pt>
                <c:pt idx="58">
                  <c:v>Rgt Molinac</c:v>
                </c:pt>
                <c:pt idx="59">
                  <c:v>KWS Serafino</c:v>
                </c:pt>
                <c:pt idx="60">
                  <c:v>FD05</c:v>
                </c:pt>
                <c:pt idx="61">
                  <c:v>FD07</c:v>
                </c:pt>
                <c:pt idx="62">
                  <c:v>FD10</c:v>
                </c:pt>
                <c:pt idx="63">
                  <c:v>FD11</c:v>
                </c:pt>
                <c:pt idx="64">
                  <c:v>FD12</c:v>
                </c:pt>
                <c:pt idx="65">
                  <c:v>FD13</c:v>
                </c:pt>
                <c:pt idx="66">
                  <c:v>FD15</c:v>
                </c:pt>
                <c:pt idx="67">
                  <c:v>LD04</c:v>
                </c:pt>
                <c:pt idx="68">
                  <c:v>RA22</c:v>
                </c:pt>
                <c:pt idx="69">
                  <c:v>Kustro</c:v>
                </c:pt>
                <c:pt idx="70">
                  <c:v>FD14</c:v>
                </c:pt>
                <c:pt idx="71">
                  <c:v>FD01</c:v>
                </c:pt>
                <c:pt idx="72">
                  <c:v>LD08</c:v>
                </c:pt>
                <c:pt idx="73">
                  <c:v>LD22</c:v>
                </c:pt>
                <c:pt idx="74">
                  <c:v>Rapax</c:v>
                </c:pt>
                <c:pt idx="75">
                  <c:v>AO07</c:v>
                </c:pt>
                <c:pt idx="76">
                  <c:v>AO09</c:v>
                </c:pt>
                <c:pt idx="77">
                  <c:v>RA01</c:v>
                </c:pt>
                <c:pt idx="78">
                  <c:v>Adverdo</c:v>
                </c:pt>
                <c:pt idx="79">
                  <c:v>Riparo</c:v>
                </c:pt>
                <c:pt idx="80">
                  <c:v>FD02</c:v>
                </c:pt>
                <c:pt idx="81">
                  <c:v>FD09</c:v>
                </c:pt>
                <c:pt idx="82">
                  <c:v>FD19</c:v>
                </c:pt>
                <c:pt idx="83">
                  <c:v>LD06</c:v>
                </c:pt>
                <c:pt idx="84">
                  <c:v>LD09</c:v>
                </c:pt>
                <c:pt idx="85">
                  <c:v>LD14</c:v>
                </c:pt>
                <c:pt idx="86">
                  <c:v>AO10</c:v>
                </c:pt>
                <c:pt idx="87">
                  <c:v>Rgt Ouessac</c:v>
                </c:pt>
                <c:pt idx="88">
                  <c:v>Porto</c:v>
                </c:pt>
                <c:pt idx="89">
                  <c:v>Rgt Belemac</c:v>
                </c:pt>
                <c:pt idx="90">
                  <c:v>Kws Fido</c:v>
                </c:pt>
                <c:pt idx="91">
                  <c:v>FD16</c:v>
                </c:pt>
                <c:pt idx="92">
                  <c:v>LD20</c:v>
                </c:pt>
                <c:pt idx="93">
                  <c:v>AO04</c:v>
                </c:pt>
                <c:pt idx="94">
                  <c:v>AO11</c:v>
                </c:pt>
                <c:pt idx="95">
                  <c:v>AO12</c:v>
                </c:pt>
                <c:pt idx="96">
                  <c:v>Rgt Rutenac</c:v>
                </c:pt>
                <c:pt idx="97">
                  <c:v>Agostino</c:v>
                </c:pt>
                <c:pt idx="98">
                  <c:v>LD19</c:v>
                </c:pt>
                <c:pt idx="99">
                  <c:v>Ramdam</c:v>
                </c:pt>
                <c:pt idx="100">
                  <c:v>AO16</c:v>
                </c:pt>
                <c:pt idx="101">
                  <c:v>Rgt Ruminac</c:v>
                </c:pt>
                <c:pt idx="102">
                  <c:v>RA11</c:v>
                </c:pt>
                <c:pt idx="103">
                  <c:v>RA19</c:v>
                </c:pt>
                <c:pt idx="104">
                  <c:v>RA20</c:v>
                </c:pt>
                <c:pt idx="105">
                  <c:v>Barolo</c:v>
                </c:pt>
                <c:pt idx="106">
                  <c:v>Lanetto</c:v>
                </c:pt>
                <c:pt idx="107">
                  <c:v>Kaulos</c:v>
                </c:pt>
                <c:pt idx="108">
                  <c:v>FD04</c:v>
                </c:pt>
                <c:pt idx="109">
                  <c:v>AO01</c:v>
                </c:pt>
                <c:pt idx="110">
                  <c:v>AO02</c:v>
                </c:pt>
                <c:pt idx="111">
                  <c:v>RA13</c:v>
                </c:pt>
                <c:pt idx="112">
                  <c:v>ADT01</c:v>
                </c:pt>
                <c:pt idx="113">
                  <c:v>Sw Talentro</c:v>
                </c:pt>
                <c:pt idx="114">
                  <c:v>Rilax</c:v>
                </c:pt>
                <c:pt idx="115">
                  <c:v>AO13</c:v>
                </c:pt>
                <c:pt idx="116">
                  <c:v>RA12</c:v>
                </c:pt>
                <c:pt idx="117">
                  <c:v>RA17</c:v>
                </c:pt>
                <c:pt idx="118">
                  <c:v>RA18</c:v>
                </c:pt>
                <c:pt idx="119">
                  <c:v>Lombardo</c:v>
                </c:pt>
                <c:pt idx="120">
                  <c:v>FD03</c:v>
                </c:pt>
                <c:pt idx="121">
                  <c:v>RA15</c:v>
                </c:pt>
                <c:pt idx="122">
                  <c:v>RA16</c:v>
                </c:pt>
                <c:pt idx="123">
                  <c:v>ADT02</c:v>
                </c:pt>
                <c:pt idx="124">
                  <c:v>Grenado</c:v>
                </c:pt>
                <c:pt idx="125">
                  <c:v>Rgt Flickflac</c:v>
                </c:pt>
                <c:pt idx="126">
                  <c:v>RA08</c:v>
                </c:pt>
                <c:pt idx="127">
                  <c:v>RA09</c:v>
                </c:pt>
                <c:pt idx="128">
                  <c:v>Kws Aveo</c:v>
                </c:pt>
                <c:pt idx="129">
                  <c:v>Rivolt</c:v>
                </c:pt>
                <c:pt idx="130">
                  <c:v>AO03</c:v>
                </c:pt>
                <c:pt idx="131">
                  <c:v>Rgt Epiac</c:v>
                </c:pt>
                <c:pt idx="132">
                  <c:v>RA10</c:v>
                </c:pt>
                <c:pt idx="133">
                  <c:v>RA14</c:v>
                </c:pt>
                <c:pt idx="134">
                  <c:v>Bienvenu</c:v>
                </c:pt>
                <c:pt idx="135">
                  <c:v>LD05</c:v>
                </c:pt>
                <c:pt idx="136">
                  <c:v>RA21</c:v>
                </c:pt>
                <c:pt idx="137">
                  <c:v>RA03</c:v>
                </c:pt>
              </c:strCache>
            </c:strRef>
          </c:cat>
          <c:val>
            <c:numRef>
              <c:f>Feuil1!$B$1:$B$138</c:f>
              <c:numCache>
                <c:formatCode>General</c:formatCode>
                <c:ptCount val="13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1.25</c:v>
                </c:pt>
                <c:pt idx="18">
                  <c:v>1.25</c:v>
                </c:pt>
                <c:pt idx="19">
                  <c:v>1.25</c:v>
                </c:pt>
                <c:pt idx="20">
                  <c:v>1.25</c:v>
                </c:pt>
                <c:pt idx="21">
                  <c:v>1.25</c:v>
                </c:pt>
                <c:pt idx="22">
                  <c:v>1.25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1.75</c:v>
                </c:pt>
                <c:pt idx="37">
                  <c:v>1.75</c:v>
                </c:pt>
                <c:pt idx="38">
                  <c:v>1.75</c:v>
                </c:pt>
                <c:pt idx="39">
                  <c:v>1.75</c:v>
                </c:pt>
                <c:pt idx="40">
                  <c:v>1.75</c:v>
                </c:pt>
                <c:pt idx="41">
                  <c:v>1.75</c:v>
                </c:pt>
                <c:pt idx="42">
                  <c:v>1.75</c:v>
                </c:pt>
                <c:pt idx="43">
                  <c:v>1.75</c:v>
                </c:pt>
                <c:pt idx="44">
                  <c:v>1.75</c:v>
                </c:pt>
                <c:pt idx="45">
                  <c:v>2</c:v>
                </c:pt>
                <c:pt idx="46">
                  <c:v>2</c:v>
                </c:pt>
                <c:pt idx="47">
                  <c:v>2</c:v>
                </c:pt>
                <c:pt idx="48">
                  <c:v>2</c:v>
                </c:pt>
                <c:pt idx="49">
                  <c:v>2</c:v>
                </c:pt>
                <c:pt idx="50">
                  <c:v>2</c:v>
                </c:pt>
                <c:pt idx="51">
                  <c:v>2</c:v>
                </c:pt>
                <c:pt idx="52">
                  <c:v>2.25</c:v>
                </c:pt>
                <c:pt idx="53">
                  <c:v>2.25</c:v>
                </c:pt>
                <c:pt idx="54">
                  <c:v>2.25</c:v>
                </c:pt>
                <c:pt idx="55">
                  <c:v>2.25</c:v>
                </c:pt>
                <c:pt idx="56">
                  <c:v>2.25</c:v>
                </c:pt>
                <c:pt idx="57">
                  <c:v>2.25</c:v>
                </c:pt>
                <c:pt idx="58">
                  <c:v>2.25</c:v>
                </c:pt>
                <c:pt idx="59">
                  <c:v>2.25</c:v>
                </c:pt>
                <c:pt idx="60">
                  <c:v>2.5</c:v>
                </c:pt>
                <c:pt idx="61">
                  <c:v>2.5</c:v>
                </c:pt>
                <c:pt idx="62">
                  <c:v>2.5</c:v>
                </c:pt>
                <c:pt idx="63">
                  <c:v>2.5</c:v>
                </c:pt>
                <c:pt idx="64">
                  <c:v>2.5</c:v>
                </c:pt>
                <c:pt idx="65">
                  <c:v>2.5</c:v>
                </c:pt>
                <c:pt idx="66">
                  <c:v>2.5</c:v>
                </c:pt>
                <c:pt idx="67">
                  <c:v>2.5</c:v>
                </c:pt>
                <c:pt idx="68">
                  <c:v>2.5</c:v>
                </c:pt>
                <c:pt idx="69">
                  <c:v>2.5</c:v>
                </c:pt>
                <c:pt idx="70">
                  <c:v>2.75</c:v>
                </c:pt>
                <c:pt idx="71">
                  <c:v>3</c:v>
                </c:pt>
                <c:pt idx="72">
                  <c:v>3</c:v>
                </c:pt>
                <c:pt idx="73">
                  <c:v>3</c:v>
                </c:pt>
                <c:pt idx="74">
                  <c:v>3</c:v>
                </c:pt>
                <c:pt idx="75">
                  <c:v>3</c:v>
                </c:pt>
                <c:pt idx="76">
                  <c:v>3</c:v>
                </c:pt>
                <c:pt idx="77">
                  <c:v>3</c:v>
                </c:pt>
                <c:pt idx="78">
                  <c:v>3</c:v>
                </c:pt>
                <c:pt idx="79">
                  <c:v>3</c:v>
                </c:pt>
                <c:pt idx="80">
                  <c:v>3.25</c:v>
                </c:pt>
                <c:pt idx="81">
                  <c:v>3.25</c:v>
                </c:pt>
                <c:pt idx="82">
                  <c:v>3.25</c:v>
                </c:pt>
                <c:pt idx="83">
                  <c:v>3.25</c:v>
                </c:pt>
                <c:pt idx="84">
                  <c:v>3.25</c:v>
                </c:pt>
                <c:pt idx="85">
                  <c:v>3.25</c:v>
                </c:pt>
                <c:pt idx="86">
                  <c:v>3.25</c:v>
                </c:pt>
                <c:pt idx="87">
                  <c:v>3.25</c:v>
                </c:pt>
                <c:pt idx="88">
                  <c:v>3.25</c:v>
                </c:pt>
                <c:pt idx="89">
                  <c:v>3.25</c:v>
                </c:pt>
                <c:pt idx="90">
                  <c:v>3.5</c:v>
                </c:pt>
                <c:pt idx="91">
                  <c:v>3.5</c:v>
                </c:pt>
                <c:pt idx="92">
                  <c:v>3.5</c:v>
                </c:pt>
                <c:pt idx="93">
                  <c:v>3.5</c:v>
                </c:pt>
                <c:pt idx="94">
                  <c:v>3.5</c:v>
                </c:pt>
                <c:pt idx="95">
                  <c:v>3.5</c:v>
                </c:pt>
                <c:pt idx="96">
                  <c:v>3.5</c:v>
                </c:pt>
                <c:pt idx="97">
                  <c:v>3.5</c:v>
                </c:pt>
                <c:pt idx="98">
                  <c:v>3.75</c:v>
                </c:pt>
                <c:pt idx="99">
                  <c:v>3.75</c:v>
                </c:pt>
                <c:pt idx="100">
                  <c:v>3.75</c:v>
                </c:pt>
                <c:pt idx="101">
                  <c:v>3.75</c:v>
                </c:pt>
                <c:pt idx="102">
                  <c:v>3.75</c:v>
                </c:pt>
                <c:pt idx="103">
                  <c:v>3.75</c:v>
                </c:pt>
                <c:pt idx="104">
                  <c:v>3.75</c:v>
                </c:pt>
                <c:pt idx="105">
                  <c:v>3.75</c:v>
                </c:pt>
                <c:pt idx="106">
                  <c:v>3.75</c:v>
                </c:pt>
                <c:pt idx="107">
                  <c:v>4</c:v>
                </c:pt>
                <c:pt idx="108">
                  <c:v>4</c:v>
                </c:pt>
                <c:pt idx="109">
                  <c:v>4</c:v>
                </c:pt>
                <c:pt idx="110">
                  <c:v>4</c:v>
                </c:pt>
                <c:pt idx="111">
                  <c:v>4</c:v>
                </c:pt>
                <c:pt idx="112">
                  <c:v>4</c:v>
                </c:pt>
                <c:pt idx="113">
                  <c:v>4.25</c:v>
                </c:pt>
                <c:pt idx="114">
                  <c:v>4.25</c:v>
                </c:pt>
                <c:pt idx="115">
                  <c:v>4.25</c:v>
                </c:pt>
                <c:pt idx="116">
                  <c:v>4.25</c:v>
                </c:pt>
                <c:pt idx="117">
                  <c:v>4.25</c:v>
                </c:pt>
                <c:pt idx="118">
                  <c:v>4.25</c:v>
                </c:pt>
                <c:pt idx="119">
                  <c:v>4.25</c:v>
                </c:pt>
                <c:pt idx="120">
                  <c:v>4.5</c:v>
                </c:pt>
                <c:pt idx="121">
                  <c:v>4.5</c:v>
                </c:pt>
                <c:pt idx="122">
                  <c:v>4.5</c:v>
                </c:pt>
                <c:pt idx="123">
                  <c:v>4.5</c:v>
                </c:pt>
                <c:pt idx="124">
                  <c:v>4.5</c:v>
                </c:pt>
                <c:pt idx="125">
                  <c:v>4.75</c:v>
                </c:pt>
                <c:pt idx="126">
                  <c:v>4.75</c:v>
                </c:pt>
                <c:pt idx="127">
                  <c:v>4.75</c:v>
                </c:pt>
                <c:pt idx="128">
                  <c:v>4.75</c:v>
                </c:pt>
                <c:pt idx="129">
                  <c:v>5</c:v>
                </c:pt>
                <c:pt idx="130">
                  <c:v>5</c:v>
                </c:pt>
                <c:pt idx="131">
                  <c:v>5</c:v>
                </c:pt>
                <c:pt idx="132">
                  <c:v>5</c:v>
                </c:pt>
                <c:pt idx="133">
                  <c:v>5</c:v>
                </c:pt>
                <c:pt idx="134">
                  <c:v>5.25</c:v>
                </c:pt>
                <c:pt idx="135">
                  <c:v>5.25</c:v>
                </c:pt>
                <c:pt idx="136">
                  <c:v>5.25</c:v>
                </c:pt>
                <c:pt idx="137">
                  <c:v>5.5</c:v>
                </c:pt>
              </c:numCache>
            </c:numRef>
          </c:val>
          <c:extLst>
            <c:ext xmlns:c16="http://schemas.microsoft.com/office/drawing/2014/chart" uri="{C3380CC4-5D6E-409C-BE32-E72D297353CC}">
              <c16:uniqueId val="{00000000-2166-4E8E-85B2-38BFE8F1963C}"/>
            </c:ext>
          </c:extLst>
        </c:ser>
        <c:dLbls>
          <c:showLegendKey val="0"/>
          <c:showVal val="0"/>
          <c:showCatName val="0"/>
          <c:showSerName val="0"/>
          <c:showPercent val="0"/>
          <c:showBubbleSize val="0"/>
        </c:dLbls>
        <c:gapWidth val="219"/>
        <c:overlap val="-27"/>
        <c:axId val="239868159"/>
        <c:axId val="1"/>
      </c:barChart>
      <c:catAx>
        <c:axId val="239868159"/>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499"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mn-lt"/>
                <a:ea typeface="+mn-ea"/>
                <a:cs typeface="+mn-cs"/>
              </a:defRPr>
            </a:pPr>
            <a:endParaRPr lang="fr-FR"/>
          </a:p>
        </c:txPr>
        <c:crossAx val="239868159"/>
        <c:crosses val="autoZero"/>
        <c:crossBetween val="between"/>
      </c:valAx>
      <c:spPr>
        <a:noFill/>
        <a:ln w="25349">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fr-FR" sz="800"/>
              <a:t>panel Cymmit-Tri 2015- AgriObtention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Feuil1!$D$1:$D$100</c:f>
              <c:strCache>
                <c:ptCount val="100"/>
                <c:pt idx="0">
                  <c:v>Cimmyt067</c:v>
                </c:pt>
                <c:pt idx="1">
                  <c:v>Cimmyt100</c:v>
                </c:pt>
                <c:pt idx="2">
                  <c:v>Cimmyt061</c:v>
                </c:pt>
                <c:pt idx="3">
                  <c:v>Cimmyt070</c:v>
                </c:pt>
                <c:pt idx="4">
                  <c:v>Cimmyt014</c:v>
                </c:pt>
                <c:pt idx="5">
                  <c:v>Cimmyt089</c:v>
                </c:pt>
                <c:pt idx="6">
                  <c:v>Cimmyt012</c:v>
                </c:pt>
                <c:pt idx="7">
                  <c:v>Cimmyt021</c:v>
                </c:pt>
                <c:pt idx="8">
                  <c:v>Cimmyt009</c:v>
                </c:pt>
                <c:pt idx="9">
                  <c:v>Cimmyt058</c:v>
                </c:pt>
                <c:pt idx="10">
                  <c:v>Cimmyt098</c:v>
                </c:pt>
                <c:pt idx="11">
                  <c:v>Cimmyt011</c:v>
                </c:pt>
                <c:pt idx="12">
                  <c:v>Cimmyt013</c:v>
                </c:pt>
                <c:pt idx="13">
                  <c:v>Cimmyt023</c:v>
                </c:pt>
                <c:pt idx="14">
                  <c:v>Cimmyt027</c:v>
                </c:pt>
                <c:pt idx="15">
                  <c:v>Cimmyt039</c:v>
                </c:pt>
                <c:pt idx="16">
                  <c:v>Cimmyt084</c:v>
                </c:pt>
                <c:pt idx="17">
                  <c:v>Cimmyt090</c:v>
                </c:pt>
                <c:pt idx="18">
                  <c:v>Cimmyt099</c:v>
                </c:pt>
                <c:pt idx="19">
                  <c:v>Cimmyt015</c:v>
                </c:pt>
                <c:pt idx="20">
                  <c:v>Cimmyt019</c:v>
                </c:pt>
                <c:pt idx="21">
                  <c:v>Cimmyt079</c:v>
                </c:pt>
                <c:pt idx="22">
                  <c:v>Cimmyt082</c:v>
                </c:pt>
                <c:pt idx="23">
                  <c:v>Cimmyt097</c:v>
                </c:pt>
                <c:pt idx="24">
                  <c:v>Cimmyt026</c:v>
                </c:pt>
                <c:pt idx="25">
                  <c:v>Cimmyt036</c:v>
                </c:pt>
                <c:pt idx="26">
                  <c:v>Cimmyt077</c:v>
                </c:pt>
                <c:pt idx="27">
                  <c:v>Cimmyt085</c:v>
                </c:pt>
                <c:pt idx="28">
                  <c:v>Cimmyt095</c:v>
                </c:pt>
                <c:pt idx="29">
                  <c:v>Cimmyt096</c:v>
                </c:pt>
                <c:pt idx="30">
                  <c:v>Cimmyt010</c:v>
                </c:pt>
                <c:pt idx="31">
                  <c:v>Cimmyt017</c:v>
                </c:pt>
                <c:pt idx="32">
                  <c:v>Cimmyt020</c:v>
                </c:pt>
                <c:pt idx="33">
                  <c:v>Cimmyt024</c:v>
                </c:pt>
                <c:pt idx="34">
                  <c:v>Cimmyt029</c:v>
                </c:pt>
                <c:pt idx="35">
                  <c:v>Cimmyt040</c:v>
                </c:pt>
                <c:pt idx="36">
                  <c:v>Cimmyt042</c:v>
                </c:pt>
                <c:pt idx="37">
                  <c:v>Cimmyt053</c:v>
                </c:pt>
                <c:pt idx="38">
                  <c:v>Cimmyt069</c:v>
                </c:pt>
                <c:pt idx="39">
                  <c:v>Cimmyt075</c:v>
                </c:pt>
                <c:pt idx="40">
                  <c:v>Cimmyt092</c:v>
                </c:pt>
                <c:pt idx="41">
                  <c:v>Cimmyt093</c:v>
                </c:pt>
                <c:pt idx="42">
                  <c:v>Cimmyt003</c:v>
                </c:pt>
                <c:pt idx="43">
                  <c:v>Cimmyt047</c:v>
                </c:pt>
                <c:pt idx="44">
                  <c:v>Cimmyt059</c:v>
                </c:pt>
                <c:pt idx="45">
                  <c:v>Cimmyt076</c:v>
                </c:pt>
                <c:pt idx="46">
                  <c:v>Cimmyt078</c:v>
                </c:pt>
                <c:pt idx="47">
                  <c:v>Cimmyt081</c:v>
                </c:pt>
                <c:pt idx="48">
                  <c:v>Cimmyt088</c:v>
                </c:pt>
                <c:pt idx="49">
                  <c:v>Cimmyt091</c:v>
                </c:pt>
                <c:pt idx="50">
                  <c:v>Cimmyt094</c:v>
                </c:pt>
                <c:pt idx="51">
                  <c:v>Cimmyt007</c:v>
                </c:pt>
                <c:pt idx="52">
                  <c:v>Cimmyt016</c:v>
                </c:pt>
                <c:pt idx="53">
                  <c:v>Cimmyt035</c:v>
                </c:pt>
                <c:pt idx="54">
                  <c:v>Cimmyt048</c:v>
                </c:pt>
                <c:pt idx="55">
                  <c:v>Cimmyt052</c:v>
                </c:pt>
                <c:pt idx="56">
                  <c:v>Cimmyt062</c:v>
                </c:pt>
                <c:pt idx="57">
                  <c:v>Cimmyt063</c:v>
                </c:pt>
                <c:pt idx="58">
                  <c:v>Cimmyt073</c:v>
                </c:pt>
                <c:pt idx="59">
                  <c:v>Cimmyt086</c:v>
                </c:pt>
                <c:pt idx="60">
                  <c:v>Cimmyt087</c:v>
                </c:pt>
                <c:pt idx="61">
                  <c:v>Cimmyt002</c:v>
                </c:pt>
                <c:pt idx="62">
                  <c:v>Cimmyt008</c:v>
                </c:pt>
                <c:pt idx="63">
                  <c:v>Cimmyt022</c:v>
                </c:pt>
                <c:pt idx="64">
                  <c:v>Cimmyt025</c:v>
                </c:pt>
                <c:pt idx="65">
                  <c:v>Cimmyt043</c:v>
                </c:pt>
                <c:pt idx="66">
                  <c:v>Cimmyt066</c:v>
                </c:pt>
                <c:pt idx="67">
                  <c:v>Cimmyt080</c:v>
                </c:pt>
                <c:pt idx="68">
                  <c:v>Cimmyt083</c:v>
                </c:pt>
                <c:pt idx="69">
                  <c:v>Cimmyt018</c:v>
                </c:pt>
                <c:pt idx="70">
                  <c:v>Cimmyt028</c:v>
                </c:pt>
                <c:pt idx="71">
                  <c:v>Cimmyt034</c:v>
                </c:pt>
                <c:pt idx="72">
                  <c:v>Cimmyt049</c:v>
                </c:pt>
                <c:pt idx="73">
                  <c:v>Cimmyt051</c:v>
                </c:pt>
                <c:pt idx="74">
                  <c:v>Cimmyt054</c:v>
                </c:pt>
                <c:pt idx="75">
                  <c:v>Cimmyt056</c:v>
                </c:pt>
                <c:pt idx="76">
                  <c:v>Cimmyt057</c:v>
                </c:pt>
                <c:pt idx="77">
                  <c:v>Cimmyt060</c:v>
                </c:pt>
                <c:pt idx="78">
                  <c:v>Cimmyt065</c:v>
                </c:pt>
                <c:pt idx="79">
                  <c:v>Cimmyt071</c:v>
                </c:pt>
                <c:pt idx="80">
                  <c:v>Cimmyt004</c:v>
                </c:pt>
                <c:pt idx="81">
                  <c:v>Cimmyt033</c:v>
                </c:pt>
                <c:pt idx="82">
                  <c:v>Cimmyt038</c:v>
                </c:pt>
                <c:pt idx="83">
                  <c:v>Cimmyt041</c:v>
                </c:pt>
                <c:pt idx="84">
                  <c:v>Cimmyt055</c:v>
                </c:pt>
                <c:pt idx="85">
                  <c:v>Cimmyt064</c:v>
                </c:pt>
                <c:pt idx="86">
                  <c:v>Cimmyt072</c:v>
                </c:pt>
                <c:pt idx="87">
                  <c:v>Cimmyt001</c:v>
                </c:pt>
                <c:pt idx="88">
                  <c:v>Cimmyt030</c:v>
                </c:pt>
                <c:pt idx="89">
                  <c:v>Cimmyt031</c:v>
                </c:pt>
                <c:pt idx="90">
                  <c:v>Cimmyt032</c:v>
                </c:pt>
                <c:pt idx="91">
                  <c:v>Cimmyt068</c:v>
                </c:pt>
                <c:pt idx="92">
                  <c:v>Cimmyt005</c:v>
                </c:pt>
                <c:pt idx="93">
                  <c:v>Cimmyt037</c:v>
                </c:pt>
                <c:pt idx="94">
                  <c:v>Cimmyt074</c:v>
                </c:pt>
                <c:pt idx="95">
                  <c:v>Cimmyt044</c:v>
                </c:pt>
                <c:pt idx="96">
                  <c:v>Cimmyt045</c:v>
                </c:pt>
                <c:pt idx="97">
                  <c:v>Cimmyt006</c:v>
                </c:pt>
                <c:pt idx="98">
                  <c:v>Cimmyt046</c:v>
                </c:pt>
                <c:pt idx="99">
                  <c:v>Cimmyt050</c:v>
                </c:pt>
              </c:strCache>
            </c:strRef>
          </c:cat>
          <c:val>
            <c:numRef>
              <c:f>Feuil1!$E$1:$E$100</c:f>
              <c:numCache>
                <c:formatCode>General</c:formatCode>
                <c:ptCount val="100"/>
                <c:pt idx="0">
                  <c:v>1.5</c:v>
                </c:pt>
                <c:pt idx="1">
                  <c:v>1.5</c:v>
                </c:pt>
                <c:pt idx="2">
                  <c:v>1.75</c:v>
                </c:pt>
                <c:pt idx="3">
                  <c:v>1.75</c:v>
                </c:pt>
                <c:pt idx="4">
                  <c:v>2</c:v>
                </c:pt>
                <c:pt idx="5">
                  <c:v>2.5</c:v>
                </c:pt>
                <c:pt idx="6">
                  <c:v>2.75</c:v>
                </c:pt>
                <c:pt idx="7">
                  <c:v>2.75</c:v>
                </c:pt>
                <c:pt idx="8">
                  <c:v>3</c:v>
                </c:pt>
                <c:pt idx="9">
                  <c:v>3</c:v>
                </c:pt>
                <c:pt idx="10">
                  <c:v>3</c:v>
                </c:pt>
                <c:pt idx="11">
                  <c:v>3.25</c:v>
                </c:pt>
                <c:pt idx="12">
                  <c:v>3.25</c:v>
                </c:pt>
                <c:pt idx="13">
                  <c:v>3.25</c:v>
                </c:pt>
                <c:pt idx="14">
                  <c:v>3.25</c:v>
                </c:pt>
                <c:pt idx="15">
                  <c:v>3.25</c:v>
                </c:pt>
                <c:pt idx="16">
                  <c:v>3.25</c:v>
                </c:pt>
                <c:pt idx="17">
                  <c:v>3.25</c:v>
                </c:pt>
                <c:pt idx="18">
                  <c:v>3.25</c:v>
                </c:pt>
                <c:pt idx="19">
                  <c:v>3.5</c:v>
                </c:pt>
                <c:pt idx="20">
                  <c:v>3.5</c:v>
                </c:pt>
                <c:pt idx="21">
                  <c:v>3.5</c:v>
                </c:pt>
                <c:pt idx="22">
                  <c:v>3.5</c:v>
                </c:pt>
                <c:pt idx="23">
                  <c:v>3.5</c:v>
                </c:pt>
                <c:pt idx="24">
                  <c:v>3.75</c:v>
                </c:pt>
                <c:pt idx="25">
                  <c:v>3.75</c:v>
                </c:pt>
                <c:pt idx="26">
                  <c:v>3.75</c:v>
                </c:pt>
                <c:pt idx="27">
                  <c:v>3.75</c:v>
                </c:pt>
                <c:pt idx="28">
                  <c:v>3.75</c:v>
                </c:pt>
                <c:pt idx="29">
                  <c:v>3.75</c:v>
                </c:pt>
                <c:pt idx="30">
                  <c:v>4</c:v>
                </c:pt>
                <c:pt idx="31">
                  <c:v>4</c:v>
                </c:pt>
                <c:pt idx="32">
                  <c:v>4</c:v>
                </c:pt>
                <c:pt idx="33">
                  <c:v>4</c:v>
                </c:pt>
                <c:pt idx="34">
                  <c:v>4</c:v>
                </c:pt>
                <c:pt idx="35">
                  <c:v>4</c:v>
                </c:pt>
                <c:pt idx="36">
                  <c:v>4</c:v>
                </c:pt>
                <c:pt idx="37">
                  <c:v>4</c:v>
                </c:pt>
                <c:pt idx="38">
                  <c:v>4</c:v>
                </c:pt>
                <c:pt idx="39">
                  <c:v>4</c:v>
                </c:pt>
                <c:pt idx="40">
                  <c:v>4</c:v>
                </c:pt>
                <c:pt idx="41">
                  <c:v>4</c:v>
                </c:pt>
                <c:pt idx="42">
                  <c:v>4.25</c:v>
                </c:pt>
                <c:pt idx="43">
                  <c:v>4.25</c:v>
                </c:pt>
                <c:pt idx="44">
                  <c:v>4.25</c:v>
                </c:pt>
                <c:pt idx="45">
                  <c:v>4.25</c:v>
                </c:pt>
                <c:pt idx="46">
                  <c:v>4.25</c:v>
                </c:pt>
                <c:pt idx="47">
                  <c:v>4.25</c:v>
                </c:pt>
                <c:pt idx="48">
                  <c:v>4.25</c:v>
                </c:pt>
                <c:pt idx="49">
                  <c:v>4.25</c:v>
                </c:pt>
                <c:pt idx="50">
                  <c:v>4.25</c:v>
                </c:pt>
                <c:pt idx="51">
                  <c:v>4.5</c:v>
                </c:pt>
                <c:pt idx="52">
                  <c:v>4.5</c:v>
                </c:pt>
                <c:pt idx="53">
                  <c:v>4.5</c:v>
                </c:pt>
                <c:pt idx="54">
                  <c:v>4.5</c:v>
                </c:pt>
                <c:pt idx="55">
                  <c:v>4.5</c:v>
                </c:pt>
                <c:pt idx="56">
                  <c:v>4.5</c:v>
                </c:pt>
                <c:pt idx="57">
                  <c:v>4.5</c:v>
                </c:pt>
                <c:pt idx="58">
                  <c:v>4.5</c:v>
                </c:pt>
                <c:pt idx="59">
                  <c:v>4.5</c:v>
                </c:pt>
                <c:pt idx="60">
                  <c:v>4.5</c:v>
                </c:pt>
                <c:pt idx="61">
                  <c:v>4.75</c:v>
                </c:pt>
                <c:pt idx="62">
                  <c:v>4.75</c:v>
                </c:pt>
                <c:pt idx="63">
                  <c:v>4.75</c:v>
                </c:pt>
                <c:pt idx="64">
                  <c:v>4.75</c:v>
                </c:pt>
                <c:pt idx="65">
                  <c:v>4.75</c:v>
                </c:pt>
                <c:pt idx="66">
                  <c:v>4.75</c:v>
                </c:pt>
                <c:pt idx="67">
                  <c:v>4.75</c:v>
                </c:pt>
                <c:pt idx="68">
                  <c:v>4.75</c:v>
                </c:pt>
                <c:pt idx="69">
                  <c:v>5</c:v>
                </c:pt>
                <c:pt idx="70">
                  <c:v>5</c:v>
                </c:pt>
                <c:pt idx="71">
                  <c:v>5</c:v>
                </c:pt>
                <c:pt idx="72">
                  <c:v>5</c:v>
                </c:pt>
                <c:pt idx="73">
                  <c:v>5</c:v>
                </c:pt>
                <c:pt idx="74">
                  <c:v>5</c:v>
                </c:pt>
                <c:pt idx="75">
                  <c:v>5</c:v>
                </c:pt>
                <c:pt idx="76">
                  <c:v>5</c:v>
                </c:pt>
                <c:pt idx="77">
                  <c:v>5</c:v>
                </c:pt>
                <c:pt idx="78">
                  <c:v>5</c:v>
                </c:pt>
                <c:pt idx="79">
                  <c:v>5</c:v>
                </c:pt>
                <c:pt idx="80">
                  <c:v>5.25</c:v>
                </c:pt>
                <c:pt idx="81">
                  <c:v>5.25</c:v>
                </c:pt>
                <c:pt idx="82">
                  <c:v>5.25</c:v>
                </c:pt>
                <c:pt idx="83">
                  <c:v>5.25</c:v>
                </c:pt>
                <c:pt idx="84">
                  <c:v>5.25</c:v>
                </c:pt>
                <c:pt idx="85">
                  <c:v>5.25</c:v>
                </c:pt>
                <c:pt idx="86">
                  <c:v>5.25</c:v>
                </c:pt>
                <c:pt idx="87">
                  <c:v>5.5</c:v>
                </c:pt>
                <c:pt idx="88">
                  <c:v>5.5</c:v>
                </c:pt>
                <c:pt idx="89">
                  <c:v>5.5</c:v>
                </c:pt>
                <c:pt idx="90">
                  <c:v>5.5</c:v>
                </c:pt>
                <c:pt idx="91">
                  <c:v>5.5</c:v>
                </c:pt>
                <c:pt idx="92">
                  <c:v>5.75</c:v>
                </c:pt>
                <c:pt idx="93">
                  <c:v>5.75</c:v>
                </c:pt>
                <c:pt idx="94">
                  <c:v>5.75</c:v>
                </c:pt>
                <c:pt idx="95">
                  <c:v>6</c:v>
                </c:pt>
                <c:pt idx="96">
                  <c:v>6</c:v>
                </c:pt>
                <c:pt idx="97">
                  <c:v>6.25</c:v>
                </c:pt>
                <c:pt idx="98">
                  <c:v>6.5</c:v>
                </c:pt>
                <c:pt idx="99">
                  <c:v>6.75</c:v>
                </c:pt>
              </c:numCache>
            </c:numRef>
          </c:val>
          <c:extLst>
            <c:ext xmlns:c16="http://schemas.microsoft.com/office/drawing/2014/chart" uri="{C3380CC4-5D6E-409C-BE32-E72D297353CC}">
              <c16:uniqueId val="{00000000-A044-4723-B84B-8C7DCBA8C33A}"/>
            </c:ext>
          </c:extLst>
        </c:ser>
        <c:dLbls>
          <c:showLegendKey val="0"/>
          <c:showVal val="0"/>
          <c:showCatName val="0"/>
          <c:showSerName val="0"/>
          <c:showPercent val="0"/>
          <c:showBubbleSize val="0"/>
        </c:dLbls>
        <c:gapWidth val="219"/>
        <c:overlap val="-27"/>
        <c:axId val="241815999"/>
        <c:axId val="1"/>
      </c:barChart>
      <c:catAx>
        <c:axId val="24181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41815999"/>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13</Pages>
  <Words>3606</Words>
  <Characters>18999</Characters>
  <Application>Microsoft Office Word</Application>
  <DocSecurity>4</DocSecurity>
  <Lines>158</Lines>
  <Paragraphs>45</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GNIS</Company>
  <LinksUpToDate>false</LinksUpToDate>
  <CharactersWithSpaces>22560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gnis</dc:creator>
  <cp:keywords/>
  <dc:description/>
  <cp:lastModifiedBy>Christophe JEUDI</cp:lastModifiedBy>
  <cp:revision>2</cp:revision>
  <cp:lastPrinted>2013-06-21T12:35:00Z</cp:lastPrinted>
  <dcterms:created xsi:type="dcterms:W3CDTF">2022-06-30T08:27:00Z</dcterms:created>
  <dcterms:modified xsi:type="dcterms:W3CDTF">2022-06-30T08:27:00Z</dcterms:modified>
</cp:coreProperties>
</file>